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66F" w:rsidRPr="0091266F" w:rsidRDefault="00754E6E" w:rsidP="0091266F">
      <w:pPr>
        <w:rPr>
          <w:rFonts w:cs="Arial"/>
          <w:b/>
          <w:bCs/>
          <w:color w:val="000000"/>
          <w:sz w:val="32"/>
          <w:szCs w:val="32"/>
        </w:rPr>
      </w:pPr>
      <w:r w:rsidRPr="00754E6E">
        <w:rPr>
          <w:rFonts w:cs="Arial"/>
          <w:b/>
          <w:bCs/>
          <w:color w:val="000000"/>
          <w:sz w:val="32"/>
          <w:szCs w:val="32"/>
        </w:rPr>
        <w:t>Loi PACTE : Nouveaux leviers de négociation pour les branches</w:t>
      </w:r>
    </w:p>
    <w:p w:rsidR="000166DC" w:rsidRDefault="000166DC" w:rsidP="006A3004">
      <w:pPr>
        <w:spacing w:line="240" w:lineRule="auto"/>
        <w:jc w:val="left"/>
        <w:rPr>
          <w:color w:val="381A0A"/>
        </w:rPr>
      </w:pPr>
    </w:p>
    <w:p w:rsidR="00217748" w:rsidRPr="000166DC" w:rsidRDefault="00217748" w:rsidP="000929DB">
      <w:pPr>
        <w:rPr>
          <w:b/>
          <w:bCs/>
          <w:sz w:val="4"/>
          <w:szCs w:val="8"/>
        </w:rPr>
      </w:pPr>
    </w:p>
    <w:p w:rsidR="000929DB" w:rsidRDefault="000929DB" w:rsidP="000929DB">
      <w:pPr>
        <w:rPr>
          <w:rFonts w:ascii="Calibri" w:eastAsia="Calibri" w:hAnsi="Calibri"/>
          <w:b/>
          <w:bCs/>
          <w:color w:val="FF0000"/>
          <w:sz w:val="22"/>
          <w:szCs w:val="22"/>
          <w:lang w:eastAsia="en-US"/>
        </w:rPr>
      </w:pPr>
      <w:r w:rsidRPr="00B12C87">
        <w:rPr>
          <w:b/>
          <w:bCs/>
        </w:rPr>
        <w:t>Avec la loi PACTE (Plan d’Action pour la Croissance et la Transformation des Entreprises), le gouvernement a engagé en 2</w:t>
      </w:r>
      <w:r w:rsidR="00A21EAF">
        <w:rPr>
          <w:b/>
          <w:bCs/>
        </w:rPr>
        <w:t>0</w:t>
      </w:r>
      <w:r w:rsidRPr="00B12C87">
        <w:rPr>
          <w:b/>
          <w:bCs/>
        </w:rPr>
        <w:t xml:space="preserve">19 un vaste plan de transformation de l’épargne retraite. </w:t>
      </w:r>
      <w:r w:rsidRPr="00B12C87">
        <w:rPr>
          <w:rFonts w:ascii="Calibri" w:eastAsia="Calibri" w:hAnsi="Calibri"/>
          <w:b/>
          <w:bCs/>
          <w:sz w:val="22"/>
          <w:szCs w:val="22"/>
          <w:lang w:eastAsia="en-US"/>
        </w:rPr>
        <w:t xml:space="preserve">Un nouveau dispositif d’épargne retraite a été mis en place : le Plan d’Epargne Retraite (PER). </w:t>
      </w:r>
      <w:r w:rsidR="00E50ADC" w:rsidRPr="00B12C87">
        <w:rPr>
          <w:rFonts w:ascii="Calibri" w:eastAsia="Calibri" w:hAnsi="Calibri"/>
          <w:b/>
          <w:bCs/>
          <w:sz w:val="22"/>
          <w:szCs w:val="22"/>
          <w:lang w:eastAsia="en-US"/>
        </w:rPr>
        <w:t>Celui-ci se décline en 3 nouveaux produits régis par des règles identiques</w:t>
      </w:r>
      <w:r w:rsidR="005C0290" w:rsidRPr="00B12C87">
        <w:rPr>
          <w:rFonts w:ascii="Calibri" w:eastAsia="Calibri" w:hAnsi="Calibri"/>
          <w:b/>
          <w:bCs/>
          <w:sz w:val="22"/>
          <w:szCs w:val="22"/>
          <w:lang w:eastAsia="en-US"/>
        </w:rPr>
        <w:t xml:space="preserve"> qui offrent plus de possibilités aux épargnants et aux entreprises</w:t>
      </w:r>
      <w:r w:rsidR="005C0290" w:rsidRPr="0030140F">
        <w:rPr>
          <w:rFonts w:ascii="Calibri" w:eastAsia="Calibri" w:hAnsi="Calibri"/>
          <w:b/>
          <w:bCs/>
          <w:sz w:val="22"/>
          <w:szCs w:val="22"/>
          <w:lang w:eastAsia="en-US"/>
        </w:rPr>
        <w:t>.  L’épargne retraite peut faire l’objet de négociation dans les accords de branches.</w:t>
      </w:r>
    </w:p>
    <w:p w:rsidR="000166DC" w:rsidRDefault="000166DC" w:rsidP="000929DB">
      <w:pPr>
        <w:rPr>
          <w:rFonts w:ascii="Calibri" w:eastAsia="Calibri" w:hAnsi="Calibri"/>
          <w:b/>
          <w:bCs/>
          <w:color w:val="FF0000"/>
          <w:sz w:val="22"/>
          <w:szCs w:val="22"/>
          <w:lang w:eastAsia="en-US"/>
        </w:rPr>
      </w:pPr>
    </w:p>
    <w:p w:rsidR="000166DC" w:rsidRDefault="000166DC" w:rsidP="000929DB">
      <w:pPr>
        <w:rPr>
          <w:rFonts w:ascii="Calibri" w:eastAsia="Calibri" w:hAnsi="Calibri"/>
          <w:b/>
          <w:bCs/>
          <w:color w:val="FF0000"/>
          <w:sz w:val="22"/>
          <w:szCs w:val="22"/>
          <w:lang w:eastAsia="en-US"/>
        </w:rPr>
      </w:pPr>
    </w:p>
    <w:p w:rsidR="00217748" w:rsidRPr="00217748" w:rsidRDefault="00217748" w:rsidP="00217748">
      <w:pPr>
        <w:spacing w:line="240" w:lineRule="auto"/>
        <w:jc w:val="left"/>
        <w:textAlignment w:val="baseline"/>
        <w:rPr>
          <w:rFonts w:eastAsia="Calibri" w:cs="Arial"/>
          <w:color w:val="381A0A"/>
          <w:sz w:val="27"/>
          <w:szCs w:val="27"/>
          <w:lang w:eastAsia="fr-FR"/>
        </w:rPr>
      </w:pPr>
      <w:r w:rsidRPr="003A222E">
        <w:rPr>
          <w:rFonts w:ascii="inherit" w:eastAsia="Calibri" w:hAnsi="inherit" w:cs="Calibri"/>
          <w:b/>
          <w:bCs/>
          <w:color w:val="381A0A"/>
          <w:sz w:val="27"/>
          <w:szCs w:val="27"/>
          <w:highlight w:val="lightGray"/>
          <w:bdr w:val="none" w:sz="0" w:space="0" w:color="auto" w:frame="1"/>
          <w:lang w:eastAsia="fr-FR"/>
        </w:rPr>
        <w:t>Les points clés de la loi PACTE</w:t>
      </w:r>
    </w:p>
    <w:p w:rsidR="00217748" w:rsidRDefault="00217748" w:rsidP="007A6EB9">
      <w:pPr>
        <w:pStyle w:val="Paragraphedeliste"/>
        <w:numPr>
          <w:ilvl w:val="0"/>
          <w:numId w:val="17"/>
        </w:numPr>
        <w:shd w:val="clear" w:color="auto" w:fill="EEEEEE"/>
        <w:spacing w:after="120" w:line="240" w:lineRule="auto"/>
        <w:ind w:left="357" w:hanging="357"/>
        <w:jc w:val="left"/>
        <w:textAlignment w:val="baseline"/>
        <w:rPr>
          <w:rFonts w:eastAsia="Calibri" w:cs="Arial"/>
          <w:color w:val="381A0A"/>
          <w:sz w:val="21"/>
          <w:szCs w:val="21"/>
          <w:lang w:eastAsia="fr-FR"/>
        </w:rPr>
      </w:pPr>
      <w:r w:rsidRPr="007A6EB9">
        <w:rPr>
          <w:rFonts w:eastAsia="Calibri" w:cs="Arial"/>
          <w:color w:val="381A0A"/>
          <w:sz w:val="21"/>
          <w:szCs w:val="21"/>
          <w:lang w:eastAsia="fr-FR"/>
        </w:rPr>
        <w:t>Parmi les grandes mesures de la loi Pacte, deux concernent principalement l’épargne retraite et salariale : d’une part, l’augmentation de la participation des salariés aux résultats de l’entreprise via l’intéressement et, d’autre part, le meilleur financement de la transition écologique et solidaire de l’épargne durable</w:t>
      </w:r>
    </w:p>
    <w:p w:rsidR="007A6EB9" w:rsidRPr="007A6EB9" w:rsidRDefault="007A6EB9" w:rsidP="007A6EB9">
      <w:pPr>
        <w:pStyle w:val="Paragraphedeliste"/>
        <w:shd w:val="clear" w:color="auto" w:fill="EEEEEE"/>
        <w:spacing w:after="120" w:line="240" w:lineRule="auto"/>
        <w:ind w:left="357"/>
        <w:jc w:val="left"/>
        <w:textAlignment w:val="baseline"/>
        <w:rPr>
          <w:rFonts w:eastAsia="Calibri" w:cs="Arial"/>
          <w:color w:val="381A0A"/>
          <w:sz w:val="21"/>
          <w:szCs w:val="21"/>
          <w:lang w:eastAsia="fr-FR"/>
        </w:rPr>
      </w:pPr>
    </w:p>
    <w:p w:rsidR="00217748" w:rsidRDefault="00217748" w:rsidP="007A6EB9">
      <w:pPr>
        <w:pStyle w:val="Paragraphedeliste"/>
        <w:numPr>
          <w:ilvl w:val="0"/>
          <w:numId w:val="17"/>
        </w:numPr>
        <w:shd w:val="clear" w:color="auto" w:fill="EEEEEE"/>
        <w:spacing w:after="120" w:line="240" w:lineRule="auto"/>
        <w:ind w:left="357" w:hanging="357"/>
        <w:jc w:val="left"/>
        <w:textAlignment w:val="baseline"/>
        <w:rPr>
          <w:rFonts w:eastAsia="Calibri" w:cs="Arial"/>
          <w:color w:val="381A0A"/>
          <w:sz w:val="21"/>
          <w:szCs w:val="21"/>
          <w:lang w:eastAsia="fr-FR"/>
        </w:rPr>
      </w:pPr>
      <w:r w:rsidRPr="007A6EB9">
        <w:rPr>
          <w:rFonts w:eastAsia="Calibri" w:cs="Arial"/>
          <w:color w:val="381A0A"/>
          <w:sz w:val="21"/>
          <w:szCs w:val="21"/>
          <w:lang w:eastAsia="fr-FR"/>
        </w:rPr>
        <w:t>L’ambition de la loi Pacte est de donner plus de sens à la préparation de la retraite dans un schéma d’épargne collective. En créant une porosité entre le domaine de l’épargne salariale et de l’assurance retraite, elle ambitionne de capter davantage d’épargne et de cotisations et pousse vers plus de capitalisation.</w:t>
      </w:r>
    </w:p>
    <w:p w:rsidR="007A6EB9" w:rsidRPr="007A6EB9" w:rsidRDefault="007A6EB9" w:rsidP="007A6EB9">
      <w:pPr>
        <w:pStyle w:val="Paragraphedeliste"/>
        <w:shd w:val="clear" w:color="auto" w:fill="EEEEEE"/>
        <w:spacing w:after="120" w:line="240" w:lineRule="auto"/>
        <w:ind w:left="357"/>
        <w:jc w:val="left"/>
        <w:textAlignment w:val="baseline"/>
        <w:rPr>
          <w:rFonts w:eastAsia="Calibri" w:cs="Arial"/>
          <w:color w:val="381A0A"/>
          <w:sz w:val="21"/>
          <w:szCs w:val="21"/>
          <w:lang w:eastAsia="fr-FR"/>
        </w:rPr>
      </w:pPr>
    </w:p>
    <w:p w:rsidR="00217748" w:rsidRDefault="00217748" w:rsidP="007A6EB9">
      <w:pPr>
        <w:pStyle w:val="Paragraphedeliste"/>
        <w:numPr>
          <w:ilvl w:val="0"/>
          <w:numId w:val="17"/>
        </w:numPr>
        <w:shd w:val="clear" w:color="auto" w:fill="EEEEEE"/>
        <w:spacing w:after="120" w:line="240" w:lineRule="auto"/>
        <w:ind w:left="357" w:hanging="357"/>
        <w:jc w:val="left"/>
        <w:textAlignment w:val="baseline"/>
        <w:rPr>
          <w:rFonts w:eastAsia="Calibri" w:cs="Arial"/>
          <w:color w:val="381A0A"/>
          <w:sz w:val="21"/>
          <w:szCs w:val="21"/>
          <w:lang w:eastAsia="fr-FR"/>
        </w:rPr>
      </w:pPr>
      <w:r w:rsidRPr="007A6EB9">
        <w:rPr>
          <w:rFonts w:eastAsia="Calibri" w:cs="Arial"/>
          <w:color w:val="381A0A"/>
          <w:sz w:val="21"/>
          <w:szCs w:val="21"/>
          <w:lang w:eastAsia="fr-FR"/>
        </w:rPr>
        <w:t>Pour remédier à l’émiettement de l’épargne, le rapatriement de tous les dispositifs existants sur le seul Plan d’Epargne Retraite (PER) crée une masse critique. La vision consolidée de l’épargne retraite sur un seul espace client devrait favoriser une plus forte appropriation de ces dispositifs.</w:t>
      </w:r>
    </w:p>
    <w:p w:rsidR="007A6EB9" w:rsidRPr="007A6EB9" w:rsidRDefault="007A6EB9" w:rsidP="007A6EB9">
      <w:pPr>
        <w:pStyle w:val="Paragraphedeliste"/>
        <w:shd w:val="clear" w:color="auto" w:fill="EEEEEE"/>
        <w:spacing w:after="120" w:line="240" w:lineRule="auto"/>
        <w:ind w:left="357"/>
        <w:jc w:val="left"/>
        <w:textAlignment w:val="baseline"/>
        <w:rPr>
          <w:rFonts w:eastAsia="Calibri" w:cs="Arial"/>
          <w:color w:val="381A0A"/>
          <w:sz w:val="21"/>
          <w:szCs w:val="21"/>
          <w:lang w:eastAsia="fr-FR"/>
        </w:rPr>
      </w:pPr>
    </w:p>
    <w:p w:rsidR="007A6EB9" w:rsidRDefault="00217748" w:rsidP="007A6EB9">
      <w:pPr>
        <w:pStyle w:val="Paragraphedeliste"/>
        <w:numPr>
          <w:ilvl w:val="0"/>
          <w:numId w:val="17"/>
        </w:numPr>
        <w:shd w:val="clear" w:color="auto" w:fill="EEEEEE"/>
        <w:spacing w:after="120" w:line="240" w:lineRule="auto"/>
        <w:ind w:left="357" w:hanging="357"/>
        <w:jc w:val="left"/>
        <w:textAlignment w:val="baseline"/>
        <w:rPr>
          <w:rFonts w:eastAsia="Calibri" w:cs="Arial"/>
          <w:color w:val="381A0A"/>
          <w:sz w:val="21"/>
          <w:szCs w:val="21"/>
          <w:lang w:eastAsia="fr-FR"/>
        </w:rPr>
      </w:pPr>
      <w:r w:rsidRPr="007A6EB9">
        <w:rPr>
          <w:rFonts w:eastAsia="Calibri" w:cs="Arial"/>
          <w:color w:val="381A0A"/>
          <w:sz w:val="21"/>
          <w:szCs w:val="21"/>
          <w:lang w:eastAsia="fr-FR"/>
        </w:rPr>
        <w:t>La possibilité de transfert des dispositifs d’épargne et de sortie en capital sur certains compartiments augmente l’attractivité du PER. En contrepartie de la réduction du forfait social de 20 à 16%, le choix sera fait par défaut d’une grille de gestion des versements pilotée par horizon avec des fonds PME.</w:t>
      </w:r>
    </w:p>
    <w:p w:rsidR="007A6EB9" w:rsidRPr="007A6EB9" w:rsidRDefault="007A6EB9" w:rsidP="007A6EB9">
      <w:pPr>
        <w:pStyle w:val="Paragraphedeliste"/>
        <w:shd w:val="clear" w:color="auto" w:fill="EEEEEE"/>
        <w:spacing w:after="120" w:line="240" w:lineRule="auto"/>
        <w:ind w:left="357"/>
        <w:jc w:val="left"/>
        <w:textAlignment w:val="baseline"/>
        <w:rPr>
          <w:rFonts w:eastAsia="Calibri" w:cs="Arial"/>
          <w:color w:val="381A0A"/>
          <w:sz w:val="21"/>
          <w:szCs w:val="21"/>
          <w:lang w:eastAsia="fr-FR"/>
        </w:rPr>
      </w:pPr>
    </w:p>
    <w:p w:rsidR="00217748" w:rsidRDefault="00217748" w:rsidP="007A6EB9">
      <w:pPr>
        <w:pStyle w:val="Paragraphedeliste"/>
        <w:numPr>
          <w:ilvl w:val="0"/>
          <w:numId w:val="17"/>
        </w:numPr>
        <w:shd w:val="clear" w:color="auto" w:fill="EEEEEE"/>
        <w:spacing w:after="120" w:line="240" w:lineRule="auto"/>
        <w:ind w:left="357" w:hanging="357"/>
        <w:jc w:val="left"/>
        <w:textAlignment w:val="baseline"/>
        <w:rPr>
          <w:rFonts w:eastAsia="Calibri" w:cs="Arial"/>
          <w:color w:val="381A0A"/>
          <w:sz w:val="21"/>
          <w:szCs w:val="21"/>
          <w:lang w:eastAsia="fr-FR"/>
        </w:rPr>
      </w:pPr>
      <w:r w:rsidRPr="007A6EB9">
        <w:rPr>
          <w:rFonts w:eastAsia="Calibri" w:cs="Arial"/>
          <w:color w:val="381A0A"/>
          <w:sz w:val="21"/>
          <w:szCs w:val="21"/>
          <w:lang w:eastAsia="fr-FR"/>
        </w:rPr>
        <w:t>Le rôle de la branche est de donner aux entreprises des ressources d’alimentation pour favoriser l’épargne en vue de la retraite. Un accord de branche « socle » peut être mis en place tel quel ou servir de base de négociation à un accord collectif.</w:t>
      </w:r>
    </w:p>
    <w:p w:rsidR="007A6EB9" w:rsidRPr="007A6EB9" w:rsidRDefault="007A6EB9" w:rsidP="007A6EB9">
      <w:pPr>
        <w:shd w:val="clear" w:color="auto" w:fill="EEEEEE"/>
        <w:spacing w:after="120" w:line="240" w:lineRule="auto"/>
        <w:jc w:val="left"/>
        <w:textAlignment w:val="baseline"/>
        <w:rPr>
          <w:rFonts w:eastAsia="Calibri" w:cs="Arial"/>
          <w:color w:val="381A0A"/>
          <w:sz w:val="21"/>
          <w:szCs w:val="21"/>
          <w:lang w:eastAsia="fr-FR"/>
        </w:rPr>
      </w:pPr>
    </w:p>
    <w:p w:rsidR="000166DC" w:rsidRDefault="000166DC">
      <w:pPr>
        <w:spacing w:line="240" w:lineRule="auto"/>
        <w:jc w:val="left"/>
        <w:rPr>
          <w:rFonts w:ascii="Relative-Book" w:hAnsi="Relative-Book" w:cs="Relative-Book"/>
          <w:sz w:val="19"/>
          <w:szCs w:val="19"/>
        </w:rPr>
      </w:pPr>
      <w:r>
        <w:rPr>
          <w:rFonts w:ascii="Relative-Book" w:hAnsi="Relative-Book" w:cs="Relative-Book"/>
          <w:sz w:val="19"/>
          <w:szCs w:val="19"/>
        </w:rPr>
        <w:br w:type="page"/>
      </w:r>
    </w:p>
    <w:p w:rsidR="001216B6" w:rsidRDefault="001216B6" w:rsidP="005F483F">
      <w:pPr>
        <w:autoSpaceDE w:val="0"/>
        <w:autoSpaceDN w:val="0"/>
        <w:adjustRightInd w:val="0"/>
        <w:spacing w:line="240" w:lineRule="auto"/>
        <w:jc w:val="left"/>
        <w:rPr>
          <w:rFonts w:ascii="Relative-Book" w:hAnsi="Relative-Book" w:cs="Relative-Book"/>
          <w:b/>
          <w:bCs/>
          <w:sz w:val="25"/>
          <w:szCs w:val="25"/>
        </w:rPr>
      </w:pPr>
      <w:bookmarkStart w:id="0" w:name="_Hlk66796445"/>
      <w:r w:rsidRPr="00096A71">
        <w:rPr>
          <w:rFonts w:ascii="Relative-Book" w:hAnsi="Relative-Book" w:cs="Relative-Book"/>
          <w:b/>
          <w:bCs/>
          <w:sz w:val="25"/>
          <w:szCs w:val="25"/>
        </w:rPr>
        <w:lastRenderedPageBreak/>
        <w:t xml:space="preserve">Un seul dispositif PER, </w:t>
      </w:r>
      <w:r w:rsidRPr="005C0290">
        <w:rPr>
          <w:rFonts w:ascii="Relative-Book" w:hAnsi="Relative-Book" w:cs="Relative-Book"/>
          <w:b/>
          <w:bCs/>
          <w:sz w:val="25"/>
          <w:szCs w:val="25"/>
        </w:rPr>
        <w:t>trois produits</w:t>
      </w:r>
    </w:p>
    <w:bookmarkEnd w:id="0"/>
    <w:p w:rsidR="00096A71" w:rsidRDefault="00096A71" w:rsidP="005F483F">
      <w:pPr>
        <w:autoSpaceDE w:val="0"/>
        <w:autoSpaceDN w:val="0"/>
        <w:adjustRightInd w:val="0"/>
        <w:spacing w:line="240" w:lineRule="auto"/>
        <w:jc w:val="left"/>
        <w:rPr>
          <w:rFonts w:ascii="Relative-Book" w:hAnsi="Relative-Book" w:cs="Relative-Book"/>
          <w:b/>
          <w:bCs/>
          <w:sz w:val="25"/>
          <w:szCs w:val="25"/>
        </w:rPr>
      </w:pPr>
    </w:p>
    <w:p w:rsidR="00A21EAF" w:rsidRDefault="00A21EAF" w:rsidP="005F483F">
      <w:pPr>
        <w:autoSpaceDE w:val="0"/>
        <w:autoSpaceDN w:val="0"/>
        <w:adjustRightInd w:val="0"/>
        <w:spacing w:line="240" w:lineRule="auto"/>
        <w:jc w:val="left"/>
        <w:rPr>
          <w:rFonts w:ascii="Relative-Book" w:hAnsi="Relative-Book" w:cs="Relative-Book"/>
          <w:sz w:val="19"/>
          <w:szCs w:val="19"/>
        </w:rPr>
      </w:pPr>
      <w:r w:rsidRPr="001C3787">
        <w:rPr>
          <w:rFonts w:ascii="Relative-Book" w:hAnsi="Relative-Book" w:cs="Relative-Book"/>
          <w:sz w:val="19"/>
          <w:szCs w:val="19"/>
        </w:rPr>
        <w:t xml:space="preserve">Le PER, dispositif unique </w:t>
      </w:r>
      <w:r w:rsidR="001C3787">
        <w:rPr>
          <w:rFonts w:ascii="Relative-Book" w:hAnsi="Relative-Book" w:cs="Relative-Book"/>
          <w:sz w:val="19"/>
          <w:szCs w:val="19"/>
        </w:rPr>
        <w:t>destiné à accompagner les épargnants tout au long de leur vie professionnelle, regroupe trois nouveaux produits d’épargne retraite :</w:t>
      </w:r>
    </w:p>
    <w:p w:rsidR="001C3787" w:rsidRPr="001C3787" w:rsidRDefault="001C3787" w:rsidP="005F483F">
      <w:pPr>
        <w:autoSpaceDE w:val="0"/>
        <w:autoSpaceDN w:val="0"/>
        <w:adjustRightInd w:val="0"/>
        <w:spacing w:line="240" w:lineRule="auto"/>
        <w:jc w:val="left"/>
        <w:rPr>
          <w:rFonts w:ascii="Relative-Book" w:hAnsi="Relative-Book" w:cs="Relative-Book"/>
          <w:sz w:val="19"/>
          <w:szCs w:val="19"/>
        </w:rPr>
      </w:pPr>
    </w:p>
    <w:p w:rsidR="00A21EAF" w:rsidRDefault="001216B6" w:rsidP="00A21EAF">
      <w:pPr>
        <w:pStyle w:val="Paragraphedeliste"/>
        <w:numPr>
          <w:ilvl w:val="0"/>
          <w:numId w:val="13"/>
        </w:numPr>
        <w:autoSpaceDE w:val="0"/>
        <w:autoSpaceDN w:val="0"/>
        <w:adjustRightInd w:val="0"/>
        <w:spacing w:line="240" w:lineRule="auto"/>
        <w:jc w:val="left"/>
        <w:rPr>
          <w:rFonts w:ascii="Relative-Book" w:hAnsi="Relative-Book" w:cs="Relative-Book"/>
          <w:sz w:val="19"/>
          <w:szCs w:val="19"/>
        </w:rPr>
      </w:pPr>
      <w:r w:rsidRPr="00A21EAF">
        <w:rPr>
          <w:rFonts w:ascii="Relative-Book" w:hAnsi="Relative-Book" w:cs="Relative-Book"/>
          <w:sz w:val="19"/>
          <w:szCs w:val="19"/>
        </w:rPr>
        <w:t xml:space="preserve">Souscrit à titre individuel, le </w:t>
      </w:r>
      <w:r w:rsidRPr="001C3787">
        <w:rPr>
          <w:rFonts w:ascii="Relative-Book" w:hAnsi="Relative-Book" w:cs="Relative-Book"/>
          <w:b/>
          <w:bCs/>
          <w:sz w:val="19"/>
          <w:szCs w:val="19"/>
        </w:rPr>
        <w:t>plan d’épargne retraite individuel (PERI)</w:t>
      </w:r>
      <w:r w:rsidRPr="00A21EAF">
        <w:rPr>
          <w:rFonts w:ascii="Relative-Book" w:hAnsi="Relative-Book" w:cs="Relative-Book"/>
          <w:sz w:val="19"/>
          <w:szCs w:val="19"/>
        </w:rPr>
        <w:t xml:space="preserve"> succède au Perp et au contrat Madelin (dédié aux travailleurs indépendants). </w:t>
      </w:r>
    </w:p>
    <w:p w:rsidR="00A21EAF" w:rsidRDefault="001216B6" w:rsidP="00A21EAF">
      <w:pPr>
        <w:autoSpaceDE w:val="0"/>
        <w:autoSpaceDN w:val="0"/>
        <w:adjustRightInd w:val="0"/>
        <w:spacing w:line="240" w:lineRule="auto"/>
        <w:ind w:left="360"/>
        <w:jc w:val="left"/>
        <w:rPr>
          <w:rFonts w:ascii="Relative-Book" w:hAnsi="Relative-Book" w:cs="Relative-Book"/>
          <w:sz w:val="19"/>
          <w:szCs w:val="19"/>
        </w:rPr>
      </w:pPr>
      <w:r w:rsidRPr="00A21EAF">
        <w:rPr>
          <w:rFonts w:ascii="Relative-Book" w:hAnsi="Relative-Book" w:cs="Relative-Book"/>
          <w:sz w:val="19"/>
          <w:szCs w:val="19"/>
        </w:rPr>
        <w:t>Dans le cadre de l’entreprise, le PER se décline sous deux formes</w:t>
      </w:r>
      <w:r w:rsidR="00A21EAF">
        <w:rPr>
          <w:rFonts w:ascii="Relative-Book" w:hAnsi="Relative-Book" w:cs="Relative-Book"/>
          <w:sz w:val="19"/>
          <w:szCs w:val="19"/>
        </w:rPr>
        <w:t xml:space="preserve"> : </w:t>
      </w:r>
    </w:p>
    <w:p w:rsidR="00A21EAF" w:rsidRDefault="001216B6" w:rsidP="00A21EAF">
      <w:pPr>
        <w:pStyle w:val="Paragraphedeliste"/>
        <w:numPr>
          <w:ilvl w:val="0"/>
          <w:numId w:val="13"/>
        </w:numPr>
        <w:autoSpaceDE w:val="0"/>
        <w:autoSpaceDN w:val="0"/>
        <w:adjustRightInd w:val="0"/>
        <w:spacing w:line="240" w:lineRule="auto"/>
        <w:jc w:val="left"/>
        <w:rPr>
          <w:rFonts w:ascii="Relative-Book" w:hAnsi="Relative-Book" w:cs="Relative-Book"/>
          <w:sz w:val="19"/>
          <w:szCs w:val="19"/>
        </w:rPr>
      </w:pPr>
      <w:r w:rsidRPr="00A21EAF">
        <w:rPr>
          <w:rFonts w:ascii="Relative-Book" w:hAnsi="Relative-Book" w:cs="Relative-Book"/>
          <w:sz w:val="19"/>
          <w:szCs w:val="19"/>
        </w:rPr>
        <w:t xml:space="preserve">Le </w:t>
      </w:r>
      <w:r w:rsidRPr="001C3787">
        <w:rPr>
          <w:rFonts w:ascii="Relative-Book" w:hAnsi="Relative-Book" w:cs="Relative-Book"/>
          <w:b/>
          <w:bCs/>
          <w:sz w:val="19"/>
          <w:szCs w:val="19"/>
        </w:rPr>
        <w:t>plan d'épargne retraite obligatoire (PERO)</w:t>
      </w:r>
      <w:r w:rsidRPr="00A21EAF">
        <w:rPr>
          <w:rFonts w:ascii="Relative-Book" w:hAnsi="Relative-Book" w:cs="Relative-Book"/>
          <w:sz w:val="19"/>
          <w:szCs w:val="19"/>
        </w:rPr>
        <w:t xml:space="preserve"> se substitue aux contrats dits « article 83 ». Il peut être mis en place pour le compte de tous les salariés ou de certaines catégories d'entre eux. Sa souscription est obligatoire.</w:t>
      </w:r>
    </w:p>
    <w:p w:rsidR="001216B6" w:rsidRPr="00A21EAF" w:rsidRDefault="001216B6" w:rsidP="00A21EAF">
      <w:pPr>
        <w:pStyle w:val="Paragraphedeliste"/>
        <w:numPr>
          <w:ilvl w:val="0"/>
          <w:numId w:val="13"/>
        </w:numPr>
        <w:autoSpaceDE w:val="0"/>
        <w:autoSpaceDN w:val="0"/>
        <w:adjustRightInd w:val="0"/>
        <w:spacing w:line="240" w:lineRule="auto"/>
        <w:jc w:val="left"/>
        <w:rPr>
          <w:rFonts w:ascii="Relative-Book" w:hAnsi="Relative-Book" w:cs="Relative-Book"/>
          <w:sz w:val="19"/>
          <w:szCs w:val="19"/>
        </w:rPr>
      </w:pPr>
      <w:r w:rsidRPr="00A21EAF">
        <w:rPr>
          <w:rFonts w:ascii="Relative-Book" w:hAnsi="Relative-Book" w:cs="Relative-Book"/>
          <w:sz w:val="19"/>
          <w:szCs w:val="19"/>
        </w:rPr>
        <w:t xml:space="preserve"> Quant au </w:t>
      </w:r>
      <w:r w:rsidRPr="001C3787">
        <w:rPr>
          <w:rFonts w:ascii="Relative-Book" w:hAnsi="Relative-Book" w:cs="Relative-Book"/>
          <w:b/>
          <w:bCs/>
          <w:sz w:val="19"/>
          <w:szCs w:val="19"/>
        </w:rPr>
        <w:t>plan d’épargne retraite d’entreprise collectif (PERECO)</w:t>
      </w:r>
      <w:r w:rsidRPr="00A21EAF">
        <w:rPr>
          <w:rFonts w:ascii="Relative-Book" w:hAnsi="Relative-Book" w:cs="Relative-Book"/>
          <w:sz w:val="19"/>
          <w:szCs w:val="19"/>
        </w:rPr>
        <w:t>, il prend la suite du Perco. Facultatif, il est ouvert à l’ensemble des salariés.</w:t>
      </w:r>
    </w:p>
    <w:p w:rsidR="001216B6" w:rsidRDefault="001216B6" w:rsidP="001216B6">
      <w:pPr>
        <w:autoSpaceDE w:val="0"/>
        <w:autoSpaceDN w:val="0"/>
        <w:adjustRightInd w:val="0"/>
        <w:spacing w:line="240" w:lineRule="auto"/>
        <w:jc w:val="left"/>
        <w:rPr>
          <w:rFonts w:ascii="Relative-Book" w:hAnsi="Relative-Book" w:cs="Relative-Book"/>
          <w:sz w:val="19"/>
          <w:szCs w:val="19"/>
        </w:rPr>
      </w:pPr>
    </w:p>
    <w:p w:rsidR="00E50ADC" w:rsidRDefault="00E50ADC" w:rsidP="001216B6">
      <w:pPr>
        <w:autoSpaceDE w:val="0"/>
        <w:autoSpaceDN w:val="0"/>
        <w:adjustRightInd w:val="0"/>
        <w:spacing w:line="240" w:lineRule="auto"/>
        <w:jc w:val="left"/>
        <w:rPr>
          <w:rFonts w:ascii="Relative-Book" w:hAnsi="Relative-Book" w:cs="Relative-Book"/>
          <w:sz w:val="19"/>
          <w:szCs w:val="19"/>
        </w:rPr>
      </w:pPr>
    </w:p>
    <w:p w:rsidR="001216B6" w:rsidRPr="001216B6" w:rsidRDefault="003F7DD1" w:rsidP="001216B6">
      <w:pPr>
        <w:autoSpaceDE w:val="0"/>
        <w:autoSpaceDN w:val="0"/>
        <w:adjustRightInd w:val="0"/>
        <w:spacing w:line="240" w:lineRule="auto"/>
        <w:jc w:val="left"/>
        <w:rPr>
          <w:rFonts w:ascii="Relative-Book" w:hAnsi="Relative-Book" w:cs="Relative-Book"/>
          <w:sz w:val="19"/>
          <w:szCs w:val="19"/>
        </w:rPr>
      </w:pPr>
      <w:r>
        <w:rPr>
          <w:noProof/>
        </w:rPr>
        <w:drawing>
          <wp:inline distT="0" distB="0" distL="0" distR="0" wp14:anchorId="20F0D687" wp14:editId="0B8BD33C">
            <wp:extent cx="5800725" cy="30331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17407" cy="3041908"/>
                    </a:xfrm>
                    <a:prstGeom prst="rect">
                      <a:avLst/>
                    </a:prstGeom>
                  </pic:spPr>
                </pic:pic>
              </a:graphicData>
            </a:graphic>
          </wp:inline>
        </w:drawing>
      </w:r>
    </w:p>
    <w:p w:rsidR="007A6EB9" w:rsidRDefault="007A6EB9" w:rsidP="001216B6">
      <w:pPr>
        <w:autoSpaceDE w:val="0"/>
        <w:autoSpaceDN w:val="0"/>
        <w:adjustRightInd w:val="0"/>
        <w:spacing w:line="240" w:lineRule="auto"/>
        <w:jc w:val="left"/>
        <w:rPr>
          <w:rFonts w:ascii="Relative-Book" w:hAnsi="Relative-Book" w:cs="Relative-Book"/>
          <w:b/>
          <w:bCs/>
          <w:sz w:val="25"/>
          <w:szCs w:val="25"/>
        </w:rPr>
      </w:pPr>
    </w:p>
    <w:p w:rsidR="000166DC" w:rsidRDefault="000166DC">
      <w:pPr>
        <w:spacing w:line="240" w:lineRule="auto"/>
        <w:jc w:val="left"/>
        <w:rPr>
          <w:rFonts w:ascii="Relative-Book" w:hAnsi="Relative-Book" w:cs="Relative-Book"/>
          <w:b/>
          <w:bCs/>
          <w:sz w:val="25"/>
          <w:szCs w:val="25"/>
        </w:rPr>
      </w:pPr>
      <w:r>
        <w:rPr>
          <w:rFonts w:ascii="Relative-Book" w:hAnsi="Relative-Book" w:cs="Relative-Book"/>
          <w:b/>
          <w:bCs/>
          <w:sz w:val="25"/>
          <w:szCs w:val="25"/>
        </w:rPr>
        <w:br w:type="page"/>
      </w:r>
    </w:p>
    <w:p w:rsidR="00E50ADC" w:rsidRPr="00E50ADC" w:rsidRDefault="001216B6" w:rsidP="001216B6">
      <w:pPr>
        <w:autoSpaceDE w:val="0"/>
        <w:autoSpaceDN w:val="0"/>
        <w:adjustRightInd w:val="0"/>
        <w:spacing w:line="240" w:lineRule="auto"/>
        <w:jc w:val="left"/>
        <w:rPr>
          <w:rFonts w:ascii="Relative-Book" w:hAnsi="Relative-Book" w:cs="Relative-Book"/>
          <w:b/>
          <w:bCs/>
          <w:sz w:val="25"/>
          <w:szCs w:val="25"/>
        </w:rPr>
      </w:pPr>
      <w:r w:rsidRPr="00E50ADC">
        <w:rPr>
          <w:rFonts w:ascii="Relative-Book" w:hAnsi="Relative-Book" w:cs="Relative-Book"/>
          <w:b/>
          <w:bCs/>
          <w:sz w:val="25"/>
          <w:szCs w:val="25"/>
        </w:rPr>
        <w:lastRenderedPageBreak/>
        <w:t>Chacun de ces PER est constitué de trois compartiments.</w:t>
      </w:r>
    </w:p>
    <w:p w:rsidR="000166DC" w:rsidRPr="000166DC" w:rsidRDefault="001216B6" w:rsidP="000166DC">
      <w:pPr>
        <w:pStyle w:val="Paragraphedeliste"/>
        <w:numPr>
          <w:ilvl w:val="0"/>
          <w:numId w:val="12"/>
        </w:numPr>
        <w:autoSpaceDE w:val="0"/>
        <w:autoSpaceDN w:val="0"/>
        <w:adjustRightInd w:val="0"/>
        <w:spacing w:line="240" w:lineRule="auto"/>
        <w:jc w:val="left"/>
        <w:rPr>
          <w:rFonts w:ascii="Relative-Book" w:hAnsi="Relative-Book" w:cs="Relative-Book"/>
          <w:sz w:val="19"/>
          <w:szCs w:val="19"/>
        </w:rPr>
      </w:pPr>
      <w:r w:rsidRPr="00687DBF">
        <w:rPr>
          <w:rFonts w:ascii="Relative-Book" w:hAnsi="Relative-Book" w:cs="Relative-Book"/>
          <w:sz w:val="19"/>
          <w:szCs w:val="19"/>
        </w:rPr>
        <w:t xml:space="preserve">Le premier est alimenté par les versements volontaires de l’adhérent, </w:t>
      </w:r>
    </w:p>
    <w:p w:rsidR="00687DBF" w:rsidRPr="00687DBF" w:rsidRDefault="001C3787" w:rsidP="00687DBF">
      <w:pPr>
        <w:pStyle w:val="Paragraphedeliste"/>
        <w:numPr>
          <w:ilvl w:val="0"/>
          <w:numId w:val="12"/>
        </w:numPr>
        <w:autoSpaceDE w:val="0"/>
        <w:autoSpaceDN w:val="0"/>
        <w:adjustRightInd w:val="0"/>
        <w:spacing w:line="240" w:lineRule="auto"/>
        <w:jc w:val="left"/>
        <w:rPr>
          <w:rFonts w:ascii="Relative-Book" w:hAnsi="Relative-Book" w:cs="Relative-Book"/>
          <w:sz w:val="19"/>
          <w:szCs w:val="19"/>
        </w:rPr>
      </w:pPr>
      <w:r>
        <w:rPr>
          <w:rFonts w:ascii="Relative-Book" w:hAnsi="Relative-Book" w:cs="Relative-Book"/>
          <w:sz w:val="19"/>
          <w:szCs w:val="19"/>
        </w:rPr>
        <w:t>L</w:t>
      </w:r>
      <w:r w:rsidR="001216B6" w:rsidRPr="00687DBF">
        <w:rPr>
          <w:rFonts w:ascii="Relative-Book" w:hAnsi="Relative-Book" w:cs="Relative-Book"/>
          <w:sz w:val="19"/>
          <w:szCs w:val="19"/>
        </w:rPr>
        <w:t xml:space="preserve">e deuxième reçoit les versements issus de </w:t>
      </w:r>
      <w:hyperlink r:id="rId11" w:history="1">
        <w:r w:rsidR="001216B6" w:rsidRPr="00687DBF">
          <w:rPr>
            <w:rStyle w:val="Lienhypertexte"/>
            <w:rFonts w:ascii="Relative-Book" w:hAnsi="Relative-Book" w:cs="Relative-Book"/>
            <w:sz w:val="19"/>
            <w:szCs w:val="19"/>
          </w:rPr>
          <w:t>l’épargne salariale</w:t>
        </w:r>
      </w:hyperlink>
      <w:r w:rsidR="001216B6" w:rsidRPr="00687DBF">
        <w:rPr>
          <w:rFonts w:ascii="Relative-Book" w:hAnsi="Relative-Book" w:cs="Relative-Book"/>
          <w:sz w:val="19"/>
          <w:szCs w:val="19"/>
        </w:rPr>
        <w:t xml:space="preserve"> – participation, intéressement, abondements éventuels de l’employeur, jours de congés non pris </w:t>
      </w:r>
    </w:p>
    <w:p w:rsidR="001216B6" w:rsidRDefault="001C3787" w:rsidP="00687DBF">
      <w:pPr>
        <w:pStyle w:val="Paragraphedeliste"/>
        <w:numPr>
          <w:ilvl w:val="0"/>
          <w:numId w:val="12"/>
        </w:numPr>
        <w:autoSpaceDE w:val="0"/>
        <w:autoSpaceDN w:val="0"/>
        <w:adjustRightInd w:val="0"/>
        <w:spacing w:line="240" w:lineRule="auto"/>
        <w:jc w:val="left"/>
        <w:rPr>
          <w:rFonts w:ascii="Relative-Book" w:hAnsi="Relative-Book" w:cs="Relative-Book"/>
          <w:sz w:val="19"/>
          <w:szCs w:val="19"/>
        </w:rPr>
      </w:pPr>
      <w:r>
        <w:rPr>
          <w:rFonts w:ascii="Relative-Book" w:hAnsi="Relative-Book" w:cs="Relative-Book"/>
          <w:sz w:val="19"/>
          <w:szCs w:val="19"/>
        </w:rPr>
        <w:t>L</w:t>
      </w:r>
      <w:r w:rsidR="003F7DD1">
        <w:rPr>
          <w:rFonts w:ascii="Relative-Book" w:hAnsi="Relative-Book" w:cs="Relative-Book"/>
          <w:sz w:val="19"/>
          <w:szCs w:val="19"/>
        </w:rPr>
        <w:t xml:space="preserve">e </w:t>
      </w:r>
      <w:r w:rsidR="001216B6" w:rsidRPr="00687DBF">
        <w:rPr>
          <w:rFonts w:ascii="Relative-Book" w:hAnsi="Relative-Book" w:cs="Relative-Book"/>
          <w:sz w:val="19"/>
          <w:szCs w:val="19"/>
        </w:rPr>
        <w:t>troisième est destiné à accueillir les versements obligatoires de l'entreprise (part patronale et part salariale).</w:t>
      </w:r>
    </w:p>
    <w:p w:rsidR="004554C5" w:rsidRDefault="004554C5" w:rsidP="004554C5">
      <w:pPr>
        <w:pStyle w:val="Paragraphedeliste"/>
        <w:autoSpaceDE w:val="0"/>
        <w:autoSpaceDN w:val="0"/>
        <w:adjustRightInd w:val="0"/>
        <w:spacing w:line="240" w:lineRule="auto"/>
        <w:jc w:val="left"/>
        <w:rPr>
          <w:rFonts w:ascii="Relative-Book" w:hAnsi="Relative-Book" w:cs="Relative-Book"/>
          <w:sz w:val="19"/>
          <w:szCs w:val="19"/>
        </w:rPr>
      </w:pPr>
    </w:p>
    <w:p w:rsidR="001216B6" w:rsidRDefault="00D67229" w:rsidP="001216B6">
      <w:pPr>
        <w:autoSpaceDE w:val="0"/>
        <w:autoSpaceDN w:val="0"/>
        <w:adjustRightInd w:val="0"/>
        <w:spacing w:line="240" w:lineRule="auto"/>
        <w:jc w:val="left"/>
        <w:rPr>
          <w:rFonts w:ascii="Relative-Book" w:hAnsi="Relative-Book" w:cs="Relative-Book"/>
          <w:sz w:val="19"/>
          <w:szCs w:val="19"/>
        </w:rPr>
      </w:pPr>
      <w:r>
        <w:rPr>
          <w:rFonts w:ascii="Relative-Book" w:hAnsi="Relative-Book" w:cs="Relative-Book"/>
          <w:noProof/>
          <w:sz w:val="19"/>
          <w:szCs w:val="19"/>
        </w:rPr>
        <w:drawing>
          <wp:inline distT="0" distB="0" distL="0" distR="0" wp14:anchorId="2EDA7005">
            <wp:extent cx="5743575" cy="2677795"/>
            <wp:effectExtent l="0" t="0" r="9525"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43847" cy="2677922"/>
                    </a:xfrm>
                    <a:prstGeom prst="rect">
                      <a:avLst/>
                    </a:prstGeom>
                    <a:noFill/>
                  </pic:spPr>
                </pic:pic>
              </a:graphicData>
            </a:graphic>
          </wp:inline>
        </w:drawing>
      </w:r>
    </w:p>
    <w:p w:rsidR="004C7C95" w:rsidRDefault="004C7C95" w:rsidP="00096A71">
      <w:pPr>
        <w:autoSpaceDE w:val="0"/>
        <w:autoSpaceDN w:val="0"/>
        <w:adjustRightInd w:val="0"/>
        <w:spacing w:line="240" w:lineRule="auto"/>
        <w:jc w:val="left"/>
        <w:rPr>
          <w:rFonts w:ascii="Relative-Book" w:hAnsi="Relative-Book" w:cs="Relative-Book"/>
          <w:sz w:val="19"/>
          <w:szCs w:val="19"/>
        </w:rPr>
      </w:pPr>
    </w:p>
    <w:p w:rsidR="00687DBF" w:rsidRDefault="00687DBF" w:rsidP="00096A71">
      <w:pPr>
        <w:autoSpaceDE w:val="0"/>
        <w:autoSpaceDN w:val="0"/>
        <w:adjustRightInd w:val="0"/>
        <w:spacing w:line="240" w:lineRule="auto"/>
        <w:jc w:val="left"/>
        <w:rPr>
          <w:rFonts w:ascii="Relative-Book" w:hAnsi="Relative-Book" w:cs="Relative-Book"/>
          <w:sz w:val="19"/>
          <w:szCs w:val="19"/>
        </w:rPr>
      </w:pPr>
    </w:p>
    <w:p w:rsidR="001C3787" w:rsidRDefault="00096A71" w:rsidP="00096A71">
      <w:pPr>
        <w:autoSpaceDE w:val="0"/>
        <w:autoSpaceDN w:val="0"/>
        <w:adjustRightInd w:val="0"/>
        <w:spacing w:line="240" w:lineRule="auto"/>
        <w:jc w:val="left"/>
        <w:rPr>
          <w:rFonts w:ascii="Relative-Book" w:hAnsi="Relative-Book" w:cs="Relative-Book"/>
          <w:sz w:val="19"/>
          <w:szCs w:val="19"/>
        </w:rPr>
      </w:pPr>
      <w:r>
        <w:rPr>
          <w:rFonts w:ascii="Relative-Book" w:hAnsi="Relative-Book" w:cs="Relative-Book"/>
          <w:sz w:val="19"/>
          <w:szCs w:val="19"/>
        </w:rPr>
        <w:t>Les conditions de sortie anticipée sont harmonisées et assouplies</w:t>
      </w:r>
      <w:r w:rsidR="001C3787">
        <w:rPr>
          <w:rFonts w:ascii="Relative-Book" w:hAnsi="Relative-Book" w:cs="Relative-Book"/>
          <w:sz w:val="19"/>
          <w:szCs w:val="19"/>
        </w:rPr>
        <w:t> :</w:t>
      </w:r>
    </w:p>
    <w:p w:rsidR="001C3787" w:rsidRDefault="00096A71" w:rsidP="001C3787">
      <w:pPr>
        <w:pStyle w:val="Paragraphedeliste"/>
        <w:numPr>
          <w:ilvl w:val="0"/>
          <w:numId w:val="12"/>
        </w:numPr>
        <w:autoSpaceDE w:val="0"/>
        <w:autoSpaceDN w:val="0"/>
        <w:adjustRightInd w:val="0"/>
        <w:spacing w:line="240" w:lineRule="auto"/>
        <w:jc w:val="left"/>
        <w:rPr>
          <w:rFonts w:ascii="Relative-Book" w:hAnsi="Relative-Book" w:cs="Relative-Book"/>
          <w:sz w:val="19"/>
          <w:szCs w:val="19"/>
        </w:rPr>
      </w:pPr>
      <w:r w:rsidRPr="001C3787">
        <w:rPr>
          <w:rFonts w:ascii="Relative-Book" w:hAnsi="Relative-Book" w:cs="Relative-Book"/>
          <w:sz w:val="19"/>
          <w:szCs w:val="19"/>
        </w:rPr>
        <w:t xml:space="preserve">Les versements individuels et ceux issus de l’épargne salariale peuvent être débloqués à tout moment pour l’achat d’une résidence principale. </w:t>
      </w:r>
    </w:p>
    <w:p w:rsidR="001C3787" w:rsidRDefault="00096A71" w:rsidP="001C3787">
      <w:pPr>
        <w:pStyle w:val="Paragraphedeliste"/>
        <w:numPr>
          <w:ilvl w:val="0"/>
          <w:numId w:val="12"/>
        </w:numPr>
        <w:autoSpaceDE w:val="0"/>
        <w:autoSpaceDN w:val="0"/>
        <w:adjustRightInd w:val="0"/>
        <w:spacing w:line="240" w:lineRule="auto"/>
        <w:jc w:val="left"/>
        <w:rPr>
          <w:rFonts w:ascii="Relative-Book" w:hAnsi="Relative-Book" w:cs="Relative-Book"/>
          <w:sz w:val="19"/>
          <w:szCs w:val="19"/>
        </w:rPr>
      </w:pPr>
      <w:r w:rsidRPr="001C3787">
        <w:rPr>
          <w:rFonts w:ascii="Relative-Book" w:hAnsi="Relative-Book" w:cs="Relative-Book"/>
          <w:sz w:val="19"/>
          <w:szCs w:val="19"/>
        </w:rPr>
        <w:t xml:space="preserve">En cas d’accident de la vie, l’épargne est disponible, quelle que soit son origine. </w:t>
      </w:r>
    </w:p>
    <w:p w:rsidR="003F7DD1" w:rsidRPr="001C3787" w:rsidRDefault="00096A71" w:rsidP="00096A71">
      <w:pPr>
        <w:pStyle w:val="Paragraphedeliste"/>
        <w:numPr>
          <w:ilvl w:val="0"/>
          <w:numId w:val="12"/>
        </w:numPr>
        <w:autoSpaceDE w:val="0"/>
        <w:autoSpaceDN w:val="0"/>
        <w:adjustRightInd w:val="0"/>
        <w:spacing w:line="240" w:lineRule="auto"/>
        <w:jc w:val="left"/>
        <w:rPr>
          <w:rFonts w:ascii="Relative-Book" w:hAnsi="Relative-Book" w:cs="Relative-Book"/>
          <w:sz w:val="19"/>
          <w:szCs w:val="19"/>
        </w:rPr>
      </w:pPr>
      <w:r w:rsidRPr="001C3787">
        <w:rPr>
          <w:rFonts w:ascii="Relative-Book" w:hAnsi="Relative-Book" w:cs="Relative-Book"/>
          <w:sz w:val="19"/>
          <w:szCs w:val="19"/>
        </w:rPr>
        <w:t>Autre évolution majeure : au moment du départ en retraite, l'épargne issue des versements volontaires et de l'épargne salariale peut être liquidée sous la forme d'une rente et/ou d'un capital.</w:t>
      </w:r>
    </w:p>
    <w:p w:rsidR="00096A71" w:rsidRPr="00096A71" w:rsidRDefault="003F7DD1" w:rsidP="002F48E4">
      <w:pPr>
        <w:autoSpaceDE w:val="0"/>
        <w:autoSpaceDN w:val="0"/>
        <w:adjustRightInd w:val="0"/>
        <w:spacing w:line="240" w:lineRule="auto"/>
        <w:jc w:val="left"/>
        <w:rPr>
          <w:rFonts w:cs="Arial"/>
          <w:sz w:val="24"/>
        </w:rPr>
      </w:pPr>
      <w:r>
        <w:rPr>
          <w:noProof/>
        </w:rPr>
        <w:drawing>
          <wp:inline distT="0" distB="0" distL="0" distR="0" wp14:anchorId="6D2A74BD" wp14:editId="53272B5A">
            <wp:extent cx="5829300" cy="2743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29425" cy="2743259"/>
                    </a:xfrm>
                    <a:prstGeom prst="rect">
                      <a:avLst/>
                    </a:prstGeom>
                  </pic:spPr>
                </pic:pic>
              </a:graphicData>
            </a:graphic>
          </wp:inline>
        </w:drawing>
      </w:r>
    </w:p>
    <w:p w:rsidR="00687DBF" w:rsidRPr="003F7DD1" w:rsidRDefault="00096A71" w:rsidP="001C3787">
      <w:pPr>
        <w:autoSpaceDE w:val="0"/>
        <w:autoSpaceDN w:val="0"/>
        <w:adjustRightInd w:val="0"/>
        <w:spacing w:line="240" w:lineRule="auto"/>
        <w:jc w:val="left"/>
        <w:rPr>
          <w:rFonts w:ascii="Relative-Book" w:hAnsi="Relative-Book" w:cs="Relative-Book"/>
          <w:b/>
          <w:bCs/>
          <w:sz w:val="25"/>
          <w:szCs w:val="25"/>
        </w:rPr>
      </w:pPr>
      <w:r>
        <w:rPr>
          <w:rFonts w:ascii="Relative-Book" w:hAnsi="Relative-Book" w:cs="Relative-Book"/>
          <w:b/>
          <w:bCs/>
          <w:sz w:val="25"/>
          <w:szCs w:val="25"/>
        </w:rPr>
        <w:lastRenderedPageBreak/>
        <w:t>Les avantages côté salariés et entreprises</w:t>
      </w:r>
    </w:p>
    <w:p w:rsidR="00687DBF" w:rsidRDefault="00687DBF" w:rsidP="001C3787">
      <w:pPr>
        <w:autoSpaceDE w:val="0"/>
        <w:autoSpaceDN w:val="0"/>
        <w:adjustRightInd w:val="0"/>
        <w:spacing w:line="240" w:lineRule="auto"/>
        <w:jc w:val="center"/>
        <w:rPr>
          <w:rFonts w:ascii="Relative-Book" w:hAnsi="Relative-Book" w:cs="Relative-Book"/>
          <w:sz w:val="19"/>
          <w:szCs w:val="19"/>
        </w:rPr>
      </w:pPr>
    </w:p>
    <w:tbl>
      <w:tblPr>
        <w:tblStyle w:val="Grilledutableau"/>
        <w:tblW w:w="0" w:type="auto"/>
        <w:tblLook w:val="04A0" w:firstRow="1" w:lastRow="0" w:firstColumn="1" w:lastColumn="0" w:noHBand="0" w:noVBand="1"/>
      </w:tblPr>
      <w:tblGrid>
        <w:gridCol w:w="4596"/>
        <w:gridCol w:w="4596"/>
      </w:tblGrid>
      <w:tr w:rsidR="00687DBF" w:rsidTr="007A6EB9">
        <w:tc>
          <w:tcPr>
            <w:tcW w:w="4596" w:type="dxa"/>
            <w:shd w:val="clear" w:color="auto" w:fill="00B0F0"/>
          </w:tcPr>
          <w:p w:rsidR="00687DBF" w:rsidRPr="00CF36B0" w:rsidRDefault="00687DBF" w:rsidP="001C3787">
            <w:pPr>
              <w:tabs>
                <w:tab w:val="left" w:pos="1710"/>
              </w:tabs>
              <w:autoSpaceDE w:val="0"/>
              <w:autoSpaceDN w:val="0"/>
              <w:adjustRightInd w:val="0"/>
              <w:spacing w:line="240" w:lineRule="auto"/>
              <w:jc w:val="center"/>
              <w:rPr>
                <w:rFonts w:ascii="Relative-Book" w:hAnsi="Relative-Book" w:cs="Relative-Book"/>
                <w:b/>
                <w:bCs/>
                <w:sz w:val="21"/>
                <w:szCs w:val="21"/>
              </w:rPr>
            </w:pPr>
            <w:r w:rsidRPr="00CF36B0">
              <w:rPr>
                <w:rFonts w:ascii="Relative-Book" w:hAnsi="Relative-Book" w:cs="Relative-Book"/>
                <w:b/>
                <w:bCs/>
                <w:sz w:val="21"/>
                <w:szCs w:val="21"/>
              </w:rPr>
              <w:t>ENTREPRISES</w:t>
            </w:r>
          </w:p>
        </w:tc>
        <w:tc>
          <w:tcPr>
            <w:tcW w:w="4596" w:type="dxa"/>
            <w:shd w:val="clear" w:color="auto" w:fill="00B0F0"/>
          </w:tcPr>
          <w:p w:rsidR="00687DBF" w:rsidRPr="00CF36B0" w:rsidRDefault="00687DBF" w:rsidP="001C3787">
            <w:pPr>
              <w:autoSpaceDE w:val="0"/>
              <w:autoSpaceDN w:val="0"/>
              <w:adjustRightInd w:val="0"/>
              <w:spacing w:line="240" w:lineRule="auto"/>
              <w:jc w:val="center"/>
              <w:rPr>
                <w:rFonts w:ascii="Relative-Book" w:hAnsi="Relative-Book" w:cs="Relative-Book"/>
                <w:b/>
                <w:bCs/>
                <w:sz w:val="21"/>
                <w:szCs w:val="21"/>
              </w:rPr>
            </w:pPr>
            <w:r w:rsidRPr="00CF36B0">
              <w:rPr>
                <w:rFonts w:ascii="Relative-Book" w:hAnsi="Relative-Book" w:cs="Relative-Book"/>
                <w:b/>
                <w:bCs/>
                <w:sz w:val="21"/>
                <w:szCs w:val="21"/>
              </w:rPr>
              <w:t>SALARIES</w:t>
            </w:r>
          </w:p>
        </w:tc>
      </w:tr>
      <w:tr w:rsidR="00687DBF" w:rsidTr="00687DBF">
        <w:tc>
          <w:tcPr>
            <w:tcW w:w="4596" w:type="dxa"/>
          </w:tcPr>
          <w:p w:rsidR="00687DBF" w:rsidRDefault="00687DBF" w:rsidP="00096A71">
            <w:pPr>
              <w:autoSpaceDE w:val="0"/>
              <w:autoSpaceDN w:val="0"/>
              <w:adjustRightInd w:val="0"/>
              <w:spacing w:line="240" w:lineRule="auto"/>
              <w:jc w:val="left"/>
              <w:rPr>
                <w:rFonts w:ascii="Relative-Book" w:hAnsi="Relative-Book" w:cs="Relative-Book"/>
                <w:sz w:val="19"/>
                <w:szCs w:val="19"/>
              </w:rPr>
            </w:pPr>
          </w:p>
          <w:p w:rsidR="003F7DD1" w:rsidRDefault="001C3787" w:rsidP="00CF36B0">
            <w:pPr>
              <w:autoSpaceDE w:val="0"/>
              <w:autoSpaceDN w:val="0"/>
              <w:adjustRightInd w:val="0"/>
              <w:spacing w:line="240" w:lineRule="auto"/>
              <w:jc w:val="left"/>
              <w:rPr>
                <w:rFonts w:ascii="Relative-Book" w:hAnsi="Relative-Book" w:cs="Relative-Book"/>
                <w:b/>
                <w:bCs/>
                <w:sz w:val="19"/>
                <w:szCs w:val="19"/>
              </w:rPr>
            </w:pPr>
            <w:r>
              <w:rPr>
                <w:rFonts w:ascii="Relative-Book" w:hAnsi="Relative-Book" w:cs="Relative-Book"/>
                <w:b/>
                <w:bCs/>
                <w:sz w:val="19"/>
                <w:szCs w:val="19"/>
              </w:rPr>
              <w:t>Un r</w:t>
            </w:r>
            <w:r w:rsidR="00687DBF" w:rsidRPr="001C3787">
              <w:rPr>
                <w:rFonts w:ascii="Relative-Book" w:hAnsi="Relative-Book" w:cs="Relative-Book"/>
                <w:b/>
                <w:bCs/>
                <w:sz w:val="19"/>
                <w:szCs w:val="19"/>
              </w:rPr>
              <w:t>égime social plus attractif</w:t>
            </w:r>
          </w:p>
          <w:p w:rsidR="00CF36B0" w:rsidRPr="00CF36B0" w:rsidRDefault="00CF36B0" w:rsidP="00CF36B0">
            <w:pPr>
              <w:autoSpaceDE w:val="0"/>
              <w:autoSpaceDN w:val="0"/>
              <w:adjustRightInd w:val="0"/>
              <w:spacing w:line="240" w:lineRule="auto"/>
              <w:jc w:val="left"/>
              <w:rPr>
                <w:rFonts w:ascii="Relative-Book" w:hAnsi="Relative-Book" w:cs="Relative-Book"/>
                <w:b/>
                <w:bCs/>
                <w:sz w:val="19"/>
                <w:szCs w:val="19"/>
              </w:rPr>
            </w:pPr>
          </w:p>
          <w:p w:rsidR="00CF36B0" w:rsidRDefault="00CF36B0" w:rsidP="00CF36B0">
            <w:pPr>
              <w:pStyle w:val="Paragraphedeliste"/>
              <w:numPr>
                <w:ilvl w:val="0"/>
                <w:numId w:val="12"/>
              </w:numPr>
              <w:autoSpaceDE w:val="0"/>
              <w:autoSpaceDN w:val="0"/>
              <w:adjustRightInd w:val="0"/>
              <w:spacing w:line="240" w:lineRule="auto"/>
              <w:jc w:val="left"/>
              <w:rPr>
                <w:rFonts w:ascii="Relative-Book" w:hAnsi="Relative-Book" w:cs="Relative-Book"/>
                <w:sz w:val="19"/>
                <w:szCs w:val="19"/>
              </w:rPr>
            </w:pPr>
            <w:r>
              <w:rPr>
                <w:rFonts w:ascii="Relative-Book" w:hAnsi="Relative-Book" w:cs="Relative-Book"/>
                <w:sz w:val="19"/>
                <w:szCs w:val="19"/>
              </w:rPr>
              <w:t>L</w:t>
            </w:r>
            <w:r w:rsidR="003F7DD1" w:rsidRPr="00CF36B0">
              <w:rPr>
                <w:rFonts w:ascii="Relative-Book" w:hAnsi="Relative-Book" w:cs="Relative-Book"/>
                <w:sz w:val="19"/>
                <w:szCs w:val="19"/>
              </w:rPr>
              <w:t>e forfait social est supprimé sur tous les versements d’épargne salariale (intéressement, participation et abondements employeur) pour les entreprises de moins de 50 salariés (sur l’intéressement uniquement pour les structures de moins de 250 salariés).</w:t>
            </w:r>
          </w:p>
          <w:p w:rsidR="003F7DD1" w:rsidRPr="00CF36B0" w:rsidRDefault="00CF36B0" w:rsidP="00CF36B0">
            <w:pPr>
              <w:pStyle w:val="Paragraphedeliste"/>
              <w:numPr>
                <w:ilvl w:val="0"/>
                <w:numId w:val="12"/>
              </w:numPr>
              <w:autoSpaceDE w:val="0"/>
              <w:autoSpaceDN w:val="0"/>
              <w:adjustRightInd w:val="0"/>
              <w:spacing w:line="240" w:lineRule="auto"/>
              <w:jc w:val="left"/>
              <w:rPr>
                <w:rFonts w:ascii="Relative-Book" w:hAnsi="Relative-Book" w:cs="Relative-Book"/>
                <w:sz w:val="19"/>
                <w:szCs w:val="19"/>
              </w:rPr>
            </w:pPr>
            <w:r>
              <w:rPr>
                <w:rFonts w:ascii="Relative-Book" w:hAnsi="Relative-Book" w:cs="Relative-Book"/>
                <w:sz w:val="19"/>
                <w:szCs w:val="19"/>
              </w:rPr>
              <w:t>T</w:t>
            </w:r>
            <w:r w:rsidR="003F7DD1" w:rsidRPr="00CF36B0">
              <w:rPr>
                <w:rFonts w:ascii="Relative-Book" w:hAnsi="Relative-Book" w:cs="Relative-Book"/>
                <w:sz w:val="19"/>
                <w:szCs w:val="19"/>
              </w:rPr>
              <w:t>outes les entreprises bénéficient d’un forfait social réduit à 16 % (au lieu de 20 %) lorsque l’offre financière propose une grille de gestion pilotée composée d’au moins 10 % de fonds PEA – PME.</w:t>
            </w:r>
          </w:p>
          <w:p w:rsidR="003F7DD1" w:rsidRPr="003F7DD1" w:rsidRDefault="003F7DD1" w:rsidP="003F7DD1">
            <w:pPr>
              <w:autoSpaceDE w:val="0"/>
              <w:autoSpaceDN w:val="0"/>
              <w:adjustRightInd w:val="0"/>
              <w:spacing w:line="240" w:lineRule="auto"/>
              <w:jc w:val="left"/>
              <w:rPr>
                <w:rFonts w:ascii="Relative-Book" w:hAnsi="Relative-Book" w:cs="Relative-Book"/>
                <w:sz w:val="19"/>
                <w:szCs w:val="19"/>
              </w:rPr>
            </w:pPr>
          </w:p>
        </w:tc>
        <w:tc>
          <w:tcPr>
            <w:tcW w:w="4596" w:type="dxa"/>
          </w:tcPr>
          <w:p w:rsidR="00B12C87" w:rsidRDefault="00B12C87" w:rsidP="00687DBF">
            <w:pPr>
              <w:autoSpaceDE w:val="0"/>
              <w:autoSpaceDN w:val="0"/>
              <w:adjustRightInd w:val="0"/>
              <w:spacing w:line="240" w:lineRule="auto"/>
              <w:jc w:val="left"/>
              <w:rPr>
                <w:rFonts w:ascii="Relative-Book" w:hAnsi="Relative-Book" w:cs="Relative-Book"/>
                <w:sz w:val="19"/>
                <w:szCs w:val="19"/>
              </w:rPr>
            </w:pPr>
          </w:p>
          <w:p w:rsidR="00687DBF" w:rsidRPr="001C3787" w:rsidRDefault="001C3787" w:rsidP="00687DBF">
            <w:pPr>
              <w:autoSpaceDE w:val="0"/>
              <w:autoSpaceDN w:val="0"/>
              <w:adjustRightInd w:val="0"/>
              <w:spacing w:line="240" w:lineRule="auto"/>
              <w:jc w:val="left"/>
              <w:rPr>
                <w:rFonts w:ascii="Relative-Book" w:hAnsi="Relative-Book" w:cs="Relative-Book"/>
                <w:b/>
                <w:bCs/>
                <w:sz w:val="19"/>
                <w:szCs w:val="19"/>
              </w:rPr>
            </w:pPr>
            <w:r w:rsidRPr="001C3787">
              <w:rPr>
                <w:rFonts w:ascii="Relative-Book" w:hAnsi="Relative-Book" w:cs="Relative-Book"/>
                <w:b/>
                <w:bCs/>
                <w:sz w:val="19"/>
                <w:szCs w:val="19"/>
              </w:rPr>
              <w:t>De n</w:t>
            </w:r>
            <w:r w:rsidR="00687DBF" w:rsidRPr="001C3787">
              <w:rPr>
                <w:rFonts w:ascii="Relative-Book" w:hAnsi="Relative-Book" w:cs="Relative-Book"/>
                <w:b/>
                <w:bCs/>
                <w:sz w:val="19"/>
                <w:szCs w:val="19"/>
              </w:rPr>
              <w:t>ombreux avantages fiscaux</w:t>
            </w:r>
          </w:p>
          <w:p w:rsidR="00B12C87" w:rsidRDefault="00B12C87" w:rsidP="00687DBF">
            <w:pPr>
              <w:autoSpaceDE w:val="0"/>
              <w:autoSpaceDN w:val="0"/>
              <w:adjustRightInd w:val="0"/>
              <w:spacing w:line="240" w:lineRule="auto"/>
              <w:jc w:val="left"/>
              <w:rPr>
                <w:rFonts w:ascii="Relative-Book" w:hAnsi="Relative-Book" w:cs="Relative-Book"/>
                <w:sz w:val="19"/>
                <w:szCs w:val="19"/>
              </w:rPr>
            </w:pPr>
          </w:p>
          <w:p w:rsidR="0046411A" w:rsidRDefault="00540172" w:rsidP="0046411A">
            <w:pPr>
              <w:autoSpaceDE w:val="0"/>
              <w:autoSpaceDN w:val="0"/>
              <w:adjustRightInd w:val="0"/>
              <w:spacing w:line="240" w:lineRule="auto"/>
              <w:jc w:val="left"/>
              <w:rPr>
                <w:rFonts w:ascii="Relative-Book" w:hAnsi="Relative-Book" w:cs="Relative-Book"/>
                <w:sz w:val="19"/>
                <w:szCs w:val="19"/>
              </w:rPr>
            </w:pPr>
            <w:r>
              <w:rPr>
                <w:rFonts w:ascii="Relative-Book" w:hAnsi="Relative-Book" w:cs="Relative-Book"/>
                <w:sz w:val="19"/>
                <w:szCs w:val="19"/>
              </w:rPr>
              <w:t xml:space="preserve">- </w:t>
            </w:r>
            <w:r w:rsidR="00B12C87" w:rsidRPr="00B12C87">
              <w:rPr>
                <w:rFonts w:ascii="Relative-Book" w:hAnsi="Relative-Book" w:cs="Relative-Book"/>
                <w:sz w:val="19"/>
                <w:szCs w:val="19"/>
              </w:rPr>
              <w:t>L</w:t>
            </w:r>
            <w:r w:rsidRPr="00B12C87">
              <w:rPr>
                <w:rFonts w:ascii="Relative-Book" w:hAnsi="Relative-Book" w:cs="Relative-Book"/>
                <w:sz w:val="19"/>
                <w:szCs w:val="19"/>
              </w:rPr>
              <w:t>es versements volontaires sont déductibles de l’impôt sur le revenu</w:t>
            </w:r>
            <w:r w:rsidR="0046411A">
              <w:rPr>
                <w:rFonts w:ascii="Relative-Book" w:hAnsi="Relative-Book" w:cs="Relative-Book"/>
                <w:sz w:val="19"/>
                <w:szCs w:val="19"/>
              </w:rPr>
              <w:t>, dans la limite de certains</w:t>
            </w:r>
          </w:p>
          <w:p w:rsidR="00540172" w:rsidRPr="00B12C87" w:rsidRDefault="0046411A" w:rsidP="0046411A">
            <w:pPr>
              <w:autoSpaceDE w:val="0"/>
              <w:autoSpaceDN w:val="0"/>
              <w:adjustRightInd w:val="0"/>
              <w:spacing w:line="240" w:lineRule="auto"/>
              <w:jc w:val="left"/>
              <w:rPr>
                <w:rFonts w:ascii="Relative-Book" w:hAnsi="Relative-Book" w:cs="Relative-Book"/>
                <w:sz w:val="19"/>
                <w:szCs w:val="19"/>
              </w:rPr>
            </w:pPr>
            <w:r>
              <w:rPr>
                <w:rFonts w:ascii="Relative-Book" w:hAnsi="Relative-Book" w:cs="Relative-Book"/>
                <w:sz w:val="19"/>
                <w:szCs w:val="19"/>
              </w:rPr>
              <w:t>plafonds</w:t>
            </w:r>
            <w:r w:rsidR="00217748">
              <w:rPr>
                <w:rFonts w:ascii="Relative-Book" w:hAnsi="Relative-Book" w:cs="Relative-Book"/>
                <w:sz w:val="19"/>
                <w:szCs w:val="19"/>
              </w:rPr>
              <w:t xml:space="preserve"> </w:t>
            </w:r>
            <w:r w:rsidR="00217748" w:rsidRPr="0086705E">
              <w:rPr>
                <w:rFonts w:ascii="Relative-Book" w:hAnsi="Relative-Book" w:cs="Relative-Book"/>
                <w:sz w:val="19"/>
                <w:szCs w:val="19"/>
              </w:rPr>
              <w:t xml:space="preserve">(règles </w:t>
            </w:r>
            <w:r w:rsidRPr="0086705E">
              <w:rPr>
                <w:rFonts w:ascii="Relative-Book" w:hAnsi="Relative-Book" w:cs="Relative-Book"/>
                <w:sz w:val="19"/>
                <w:szCs w:val="19"/>
              </w:rPr>
              <w:t xml:space="preserve">en </w:t>
            </w:r>
            <w:hyperlink r:id="rId14" w:history="1">
              <w:r w:rsidRPr="0086705E">
                <w:rPr>
                  <w:rStyle w:val="Lienhypertexte"/>
                  <w:rFonts w:ascii="Relative-Book" w:hAnsi="Relative-Book" w:cs="Relative-Book"/>
                  <w:color w:val="auto"/>
                  <w:sz w:val="19"/>
                  <w:szCs w:val="19"/>
                </w:rPr>
                <w:t>lien</w:t>
              </w:r>
            </w:hyperlink>
            <w:r w:rsidR="0086705E" w:rsidRPr="0086705E">
              <w:rPr>
                <w:rStyle w:val="Lienhypertexte"/>
                <w:rFonts w:ascii="Relative-Book" w:hAnsi="Relative-Book" w:cs="Relative-Book"/>
                <w:color w:val="auto"/>
                <w:sz w:val="19"/>
                <w:szCs w:val="19"/>
              </w:rPr>
              <w:t>)</w:t>
            </w:r>
          </w:p>
          <w:p w:rsidR="00CF36B0" w:rsidRDefault="00540172" w:rsidP="00540172">
            <w:pPr>
              <w:autoSpaceDE w:val="0"/>
              <w:autoSpaceDN w:val="0"/>
              <w:adjustRightInd w:val="0"/>
              <w:spacing w:line="240" w:lineRule="auto"/>
              <w:jc w:val="left"/>
              <w:rPr>
                <w:rFonts w:ascii="Relative-Book" w:hAnsi="Relative-Book" w:cs="Relative-Book"/>
                <w:sz w:val="19"/>
                <w:szCs w:val="19"/>
              </w:rPr>
            </w:pPr>
            <w:r w:rsidRPr="00B12C87">
              <w:rPr>
                <w:rFonts w:ascii="Relative-Book" w:hAnsi="Relative-Book" w:cs="Relative-Book"/>
                <w:sz w:val="19"/>
                <w:szCs w:val="19"/>
              </w:rPr>
              <w:t>-</w:t>
            </w:r>
            <w:r w:rsidR="00B12C87" w:rsidRPr="00B12C87">
              <w:rPr>
                <w:rFonts w:ascii="Relative-Book" w:hAnsi="Relative-Book" w:cs="Relative-Book"/>
                <w:sz w:val="19"/>
                <w:szCs w:val="19"/>
              </w:rPr>
              <w:t xml:space="preserve"> L</w:t>
            </w:r>
            <w:r w:rsidRPr="00B12C87">
              <w:rPr>
                <w:rFonts w:ascii="Relative-Book" w:hAnsi="Relative-Book" w:cs="Relative-Book"/>
                <w:sz w:val="19"/>
                <w:szCs w:val="19"/>
              </w:rPr>
              <w:t>es sommes issues de l’épargne salariale sont exonérées d’impôt sur le revenu à l’entrée, mais aussi à la sortie</w:t>
            </w:r>
            <w:r w:rsidR="00CF36B0">
              <w:rPr>
                <w:rFonts w:ascii="Relative-Book" w:hAnsi="Relative-Book" w:cs="Relative-Book"/>
                <w:sz w:val="19"/>
                <w:szCs w:val="19"/>
              </w:rPr>
              <w:t xml:space="preserve"> et j</w:t>
            </w:r>
            <w:r w:rsidRPr="00B12C87">
              <w:rPr>
                <w:rFonts w:ascii="Relative-Book" w:hAnsi="Relative-Book" w:cs="Relative-Book"/>
                <w:sz w:val="19"/>
                <w:szCs w:val="19"/>
              </w:rPr>
              <w:t>usqu’au 1</w:t>
            </w:r>
            <w:r w:rsidRPr="00B12C87">
              <w:rPr>
                <w:rFonts w:ascii="Relative-Book" w:hAnsi="Relative-Book" w:cs="Relative-Book"/>
                <w:sz w:val="11"/>
                <w:szCs w:val="11"/>
              </w:rPr>
              <w:t xml:space="preserve">er </w:t>
            </w:r>
            <w:r w:rsidRPr="00B12C87">
              <w:rPr>
                <w:rFonts w:ascii="Relative-Book" w:hAnsi="Relative-Book" w:cs="Relative-Book"/>
                <w:sz w:val="19"/>
                <w:szCs w:val="19"/>
              </w:rPr>
              <w:t>janvier 2023</w:t>
            </w:r>
          </w:p>
          <w:p w:rsidR="00540172" w:rsidRPr="00CF36B0" w:rsidRDefault="00CF36B0" w:rsidP="00540172">
            <w:pPr>
              <w:autoSpaceDE w:val="0"/>
              <w:autoSpaceDN w:val="0"/>
              <w:adjustRightInd w:val="0"/>
              <w:spacing w:line="240" w:lineRule="auto"/>
              <w:jc w:val="left"/>
              <w:rPr>
                <w:rFonts w:ascii="Relative-Book" w:hAnsi="Relative-Book" w:cs="Relative-Book"/>
                <w:sz w:val="19"/>
                <w:szCs w:val="19"/>
              </w:rPr>
            </w:pPr>
            <w:r>
              <w:rPr>
                <w:rFonts w:ascii="Relative-Book" w:hAnsi="Relative-Book" w:cs="Relative-Book"/>
                <w:sz w:val="19"/>
                <w:szCs w:val="19"/>
              </w:rPr>
              <w:t>- T</w:t>
            </w:r>
            <w:r w:rsidR="00540172" w:rsidRPr="00B12C87">
              <w:rPr>
                <w:rFonts w:ascii="Relative-Book" w:hAnsi="Relative-Book" w:cs="Relative-Book"/>
                <w:sz w:val="19"/>
                <w:szCs w:val="19"/>
              </w:rPr>
              <w:t>out rachat d’un contrat</w:t>
            </w:r>
            <w:r>
              <w:rPr>
                <w:rFonts w:ascii="Relative-Book" w:hAnsi="Relative-Book" w:cs="Relative-Book"/>
                <w:sz w:val="19"/>
                <w:szCs w:val="19"/>
              </w:rPr>
              <w:t xml:space="preserve"> </w:t>
            </w:r>
            <w:r w:rsidR="00540172" w:rsidRPr="00B12C87">
              <w:rPr>
                <w:rFonts w:ascii="Relative-Book" w:hAnsi="Relative-Book" w:cs="Relative-Book"/>
                <w:sz w:val="19"/>
                <w:szCs w:val="19"/>
              </w:rPr>
              <w:t xml:space="preserve">d’assurance vie de plus de huit ans fera l’objet d’un abattement fiscal doublé, si les sommes sont réinvesties dans un PER </w:t>
            </w:r>
            <w:r w:rsidR="001C3787">
              <w:rPr>
                <w:rFonts w:ascii="Relative-Book" w:hAnsi="Relative-Book" w:cs="Relative-Book"/>
                <w:sz w:val="19"/>
                <w:szCs w:val="19"/>
              </w:rPr>
              <w:t>(*)</w:t>
            </w:r>
          </w:p>
          <w:p w:rsidR="00540172" w:rsidRPr="00687DBF" w:rsidRDefault="00540172" w:rsidP="00687DBF">
            <w:pPr>
              <w:autoSpaceDE w:val="0"/>
              <w:autoSpaceDN w:val="0"/>
              <w:adjustRightInd w:val="0"/>
              <w:spacing w:line="240" w:lineRule="auto"/>
              <w:jc w:val="left"/>
              <w:rPr>
                <w:rFonts w:ascii="Relative-Book" w:hAnsi="Relative-Book" w:cs="Relative-Book"/>
                <w:sz w:val="19"/>
                <w:szCs w:val="19"/>
              </w:rPr>
            </w:pPr>
          </w:p>
        </w:tc>
      </w:tr>
    </w:tbl>
    <w:p w:rsidR="00687DBF" w:rsidRDefault="00687DBF" w:rsidP="00096A71">
      <w:pPr>
        <w:autoSpaceDE w:val="0"/>
        <w:autoSpaceDN w:val="0"/>
        <w:adjustRightInd w:val="0"/>
        <w:spacing w:line="240" w:lineRule="auto"/>
        <w:jc w:val="left"/>
        <w:rPr>
          <w:rFonts w:ascii="Relative-Book" w:hAnsi="Relative-Book" w:cs="Relative-Book"/>
          <w:sz w:val="19"/>
          <w:szCs w:val="19"/>
        </w:rPr>
      </w:pPr>
    </w:p>
    <w:p w:rsidR="00540172" w:rsidRDefault="00540172" w:rsidP="00540172">
      <w:pPr>
        <w:autoSpaceDE w:val="0"/>
        <w:autoSpaceDN w:val="0"/>
        <w:adjustRightInd w:val="0"/>
        <w:spacing w:line="240" w:lineRule="auto"/>
        <w:jc w:val="left"/>
        <w:rPr>
          <w:rFonts w:ascii="Relative-Book" w:hAnsi="Relative-Book" w:cs="Relative-Book"/>
          <w:sz w:val="14"/>
          <w:szCs w:val="14"/>
        </w:rPr>
      </w:pPr>
      <w:r>
        <w:rPr>
          <w:rFonts w:ascii="Relative-Book" w:hAnsi="Relative-Book" w:cs="Relative-Book"/>
          <w:sz w:val="14"/>
          <w:szCs w:val="14"/>
        </w:rPr>
        <w:t>(</w:t>
      </w:r>
      <w:r w:rsidR="001C3787">
        <w:rPr>
          <w:rFonts w:ascii="Relative-Book" w:hAnsi="Relative-Book" w:cs="Relative-Book"/>
          <w:sz w:val="14"/>
          <w:szCs w:val="14"/>
        </w:rPr>
        <w:t>*</w:t>
      </w:r>
      <w:r>
        <w:rPr>
          <w:rFonts w:ascii="Relative-Book" w:hAnsi="Relative-Book" w:cs="Relative-Book"/>
          <w:sz w:val="14"/>
          <w:szCs w:val="14"/>
        </w:rPr>
        <w:t>)</w:t>
      </w:r>
      <w:r w:rsidR="0086705E">
        <w:rPr>
          <w:rFonts w:ascii="Relative-Book" w:hAnsi="Relative-Book" w:cs="Relative-Book"/>
          <w:sz w:val="14"/>
          <w:szCs w:val="14"/>
        </w:rPr>
        <w:t xml:space="preserve"> </w:t>
      </w:r>
      <w:r>
        <w:rPr>
          <w:rFonts w:ascii="Relative-Book" w:hAnsi="Relative-Book" w:cs="Relative-Book"/>
          <w:sz w:val="14"/>
          <w:szCs w:val="14"/>
        </w:rPr>
        <w:t>Le rachat doit être effectué au moins cinq ans avant le départ en retraite.</w:t>
      </w:r>
      <w:r w:rsidR="00217748">
        <w:rPr>
          <w:rFonts w:ascii="Relative-Book" w:hAnsi="Relative-Book" w:cs="Relative-Book"/>
          <w:sz w:val="14"/>
          <w:szCs w:val="14"/>
        </w:rPr>
        <w:t xml:space="preserve"> </w:t>
      </w:r>
      <w:r>
        <w:rPr>
          <w:rFonts w:ascii="Relative-Book" w:hAnsi="Relative-Book" w:cs="Relative-Book"/>
          <w:sz w:val="14"/>
          <w:szCs w:val="14"/>
        </w:rPr>
        <w:t>L’abattement fiscal est plafonné à 9 200 euros pour une personne seule et 18 400</w:t>
      </w:r>
    </w:p>
    <w:p w:rsidR="00540172" w:rsidRPr="00687DBF" w:rsidRDefault="00540172" w:rsidP="00540172">
      <w:pPr>
        <w:autoSpaceDE w:val="0"/>
        <w:autoSpaceDN w:val="0"/>
        <w:adjustRightInd w:val="0"/>
        <w:spacing w:line="240" w:lineRule="auto"/>
        <w:jc w:val="left"/>
        <w:rPr>
          <w:rFonts w:ascii="Relative-Book" w:hAnsi="Relative-Book" w:cs="Relative-Book"/>
          <w:sz w:val="19"/>
          <w:szCs w:val="19"/>
          <w:highlight w:val="yellow"/>
        </w:rPr>
      </w:pPr>
      <w:r>
        <w:rPr>
          <w:rFonts w:ascii="Relative-Book" w:hAnsi="Relative-Book" w:cs="Relative-Book"/>
          <w:sz w:val="14"/>
          <w:szCs w:val="14"/>
        </w:rPr>
        <w:t>euros pour un couple</w:t>
      </w:r>
    </w:p>
    <w:p w:rsidR="00096A71" w:rsidRDefault="00096A71" w:rsidP="00096A71">
      <w:pPr>
        <w:autoSpaceDE w:val="0"/>
        <w:autoSpaceDN w:val="0"/>
        <w:adjustRightInd w:val="0"/>
        <w:spacing w:line="240" w:lineRule="auto"/>
        <w:jc w:val="left"/>
        <w:rPr>
          <w:rFonts w:ascii="Relative-Book" w:hAnsi="Relative-Book" w:cs="Relative-Book"/>
          <w:b/>
          <w:bCs/>
          <w:sz w:val="25"/>
          <w:szCs w:val="25"/>
        </w:rPr>
      </w:pPr>
    </w:p>
    <w:p w:rsidR="008A2C9C" w:rsidRDefault="008A2C9C" w:rsidP="00096A71">
      <w:pPr>
        <w:autoSpaceDE w:val="0"/>
        <w:autoSpaceDN w:val="0"/>
        <w:adjustRightInd w:val="0"/>
        <w:spacing w:line="240" w:lineRule="auto"/>
        <w:jc w:val="left"/>
        <w:rPr>
          <w:rFonts w:cs="Arial"/>
          <w:b/>
          <w:bCs/>
          <w:color w:val="381A0A"/>
          <w:sz w:val="21"/>
          <w:szCs w:val="21"/>
          <w:shd w:val="clear" w:color="auto" w:fill="FFFFFF"/>
        </w:rPr>
      </w:pPr>
    </w:p>
    <w:p w:rsidR="005D1D3D" w:rsidRDefault="005D1D3D" w:rsidP="00096A71">
      <w:pPr>
        <w:autoSpaceDE w:val="0"/>
        <w:autoSpaceDN w:val="0"/>
        <w:adjustRightInd w:val="0"/>
        <w:spacing w:line="240" w:lineRule="auto"/>
        <w:jc w:val="left"/>
        <w:rPr>
          <w:rFonts w:cs="Arial"/>
          <w:b/>
          <w:bCs/>
          <w:strike/>
          <w:color w:val="381A0A"/>
          <w:sz w:val="21"/>
          <w:szCs w:val="21"/>
          <w:shd w:val="clear" w:color="auto" w:fill="FFFFFF"/>
        </w:rPr>
      </w:pPr>
    </w:p>
    <w:p w:rsidR="00540172" w:rsidRDefault="006366C7" w:rsidP="00096A71">
      <w:pPr>
        <w:autoSpaceDE w:val="0"/>
        <w:autoSpaceDN w:val="0"/>
        <w:adjustRightInd w:val="0"/>
        <w:spacing w:line="240" w:lineRule="auto"/>
        <w:jc w:val="left"/>
        <w:rPr>
          <w:rFonts w:cs="Arial"/>
          <w:b/>
          <w:bCs/>
          <w:color w:val="381A0A"/>
          <w:sz w:val="21"/>
          <w:szCs w:val="21"/>
          <w:shd w:val="clear" w:color="auto" w:fill="FFFFFF"/>
        </w:rPr>
      </w:pPr>
      <w:r>
        <w:rPr>
          <w:rFonts w:cs="Arial"/>
          <w:b/>
          <w:bCs/>
          <w:color w:val="381A0A"/>
          <w:sz w:val="21"/>
          <w:szCs w:val="21"/>
          <w:shd w:val="clear" w:color="auto" w:fill="FFFFFF"/>
        </w:rPr>
        <w:t xml:space="preserve">Vers un nouveau levier de négociation et de pilotage paritaire ? </w:t>
      </w:r>
    </w:p>
    <w:p w:rsidR="00CF36B0" w:rsidRDefault="00CF36B0" w:rsidP="00096A71">
      <w:pPr>
        <w:autoSpaceDE w:val="0"/>
        <w:autoSpaceDN w:val="0"/>
        <w:adjustRightInd w:val="0"/>
        <w:spacing w:line="240" w:lineRule="auto"/>
        <w:jc w:val="left"/>
        <w:rPr>
          <w:rFonts w:cs="Arial"/>
          <w:b/>
          <w:bCs/>
          <w:color w:val="381A0A"/>
          <w:sz w:val="21"/>
          <w:szCs w:val="21"/>
          <w:shd w:val="clear" w:color="auto" w:fill="FFFFFF"/>
        </w:rPr>
      </w:pPr>
    </w:p>
    <w:p w:rsidR="006366C7" w:rsidRPr="001A58B3" w:rsidRDefault="006366C7" w:rsidP="00096A71">
      <w:pPr>
        <w:autoSpaceDE w:val="0"/>
        <w:autoSpaceDN w:val="0"/>
        <w:adjustRightInd w:val="0"/>
        <w:spacing w:line="240" w:lineRule="auto"/>
        <w:jc w:val="left"/>
        <w:rPr>
          <w:rFonts w:cs="Arial"/>
          <w:color w:val="381A0A"/>
          <w:sz w:val="21"/>
          <w:szCs w:val="21"/>
          <w:shd w:val="clear" w:color="auto" w:fill="FFFFFF"/>
        </w:rPr>
      </w:pPr>
      <w:r w:rsidRPr="001A58B3">
        <w:rPr>
          <w:rFonts w:cs="Arial"/>
          <w:color w:val="381A0A"/>
          <w:sz w:val="21"/>
          <w:szCs w:val="21"/>
          <w:shd w:val="clear" w:color="auto" w:fill="FFFFFF"/>
        </w:rPr>
        <w:t>Un peu d’histoire… du point de vue Agirc-Arrco selon les branches professionnelles et les entreprises les taux d’appel Retraite complémentaire varient de 7,87% à 10,16%.</w:t>
      </w:r>
    </w:p>
    <w:p w:rsidR="006366C7" w:rsidRPr="001A58B3" w:rsidRDefault="006366C7" w:rsidP="00096A71">
      <w:pPr>
        <w:autoSpaceDE w:val="0"/>
        <w:autoSpaceDN w:val="0"/>
        <w:adjustRightInd w:val="0"/>
        <w:spacing w:line="240" w:lineRule="auto"/>
        <w:jc w:val="left"/>
        <w:rPr>
          <w:rFonts w:cs="Arial"/>
          <w:color w:val="381A0A"/>
          <w:sz w:val="21"/>
          <w:szCs w:val="21"/>
          <w:shd w:val="clear" w:color="auto" w:fill="FFFFFF"/>
        </w:rPr>
      </w:pPr>
      <w:r w:rsidRPr="001A58B3">
        <w:rPr>
          <w:rFonts w:cs="Arial"/>
          <w:color w:val="381A0A"/>
          <w:sz w:val="21"/>
          <w:szCs w:val="21"/>
          <w:shd w:val="clear" w:color="auto" w:fill="FFFFFF"/>
        </w:rPr>
        <w:t xml:space="preserve">Cet écart de 2,29% se traduit bien sûr par des droits à retraite complémentaire. Le salarié qui aura cotisé à 10,16% </w:t>
      </w:r>
      <w:r w:rsidR="00A8461F" w:rsidRPr="001A58B3">
        <w:rPr>
          <w:rFonts w:cs="Arial"/>
          <w:color w:val="381A0A"/>
          <w:sz w:val="21"/>
          <w:szCs w:val="21"/>
          <w:shd w:val="clear" w:color="auto" w:fill="FFFFFF"/>
        </w:rPr>
        <w:t>(taux contractuel 8% appelé à 10,16%) par rapport à 7,87% (taux contractuel 6% appelé à 7,87%) percevra près de 33% de retraite complémentaire en plus.</w:t>
      </w:r>
    </w:p>
    <w:p w:rsidR="00A8461F" w:rsidRPr="001A58B3" w:rsidRDefault="00A8461F" w:rsidP="00096A71">
      <w:pPr>
        <w:autoSpaceDE w:val="0"/>
        <w:autoSpaceDN w:val="0"/>
        <w:adjustRightInd w:val="0"/>
        <w:spacing w:line="240" w:lineRule="auto"/>
        <w:jc w:val="left"/>
        <w:rPr>
          <w:rFonts w:cs="Arial"/>
          <w:color w:val="381A0A"/>
          <w:sz w:val="21"/>
          <w:szCs w:val="21"/>
          <w:shd w:val="clear" w:color="auto" w:fill="FFFFFF"/>
        </w:rPr>
      </w:pPr>
    </w:p>
    <w:p w:rsidR="00A8461F" w:rsidRPr="001A58B3" w:rsidRDefault="00331EFB" w:rsidP="00096A71">
      <w:pPr>
        <w:autoSpaceDE w:val="0"/>
        <w:autoSpaceDN w:val="0"/>
        <w:adjustRightInd w:val="0"/>
        <w:spacing w:line="240" w:lineRule="auto"/>
        <w:jc w:val="left"/>
        <w:rPr>
          <w:rFonts w:cs="Arial"/>
          <w:color w:val="381A0A"/>
          <w:sz w:val="21"/>
          <w:szCs w:val="21"/>
          <w:shd w:val="clear" w:color="auto" w:fill="FFFFFF"/>
        </w:rPr>
      </w:pPr>
      <w:r w:rsidRPr="001A58B3">
        <w:rPr>
          <w:rFonts w:cs="Arial"/>
          <w:color w:val="381A0A"/>
          <w:sz w:val="21"/>
          <w:szCs w:val="21"/>
          <w:shd w:val="clear" w:color="auto" w:fill="FFFFFF"/>
        </w:rPr>
        <w:t>Ces écarts s’expliquent historiquement dans les années 90 par les négociations paritaires des partenaires sociaux Agirc-Arrco responsables du pilotage des régimes.</w:t>
      </w:r>
    </w:p>
    <w:p w:rsidR="00331EFB" w:rsidRPr="001A58B3" w:rsidRDefault="00331EFB" w:rsidP="00096A71">
      <w:pPr>
        <w:autoSpaceDE w:val="0"/>
        <w:autoSpaceDN w:val="0"/>
        <w:adjustRightInd w:val="0"/>
        <w:spacing w:line="240" w:lineRule="auto"/>
        <w:jc w:val="left"/>
        <w:rPr>
          <w:rFonts w:cs="Arial"/>
          <w:color w:val="381A0A"/>
          <w:sz w:val="21"/>
          <w:szCs w:val="21"/>
          <w:shd w:val="clear" w:color="auto" w:fill="FFFFFF"/>
        </w:rPr>
      </w:pPr>
    </w:p>
    <w:p w:rsidR="00331EFB" w:rsidRPr="001A58B3" w:rsidRDefault="00331EFB" w:rsidP="00096A71">
      <w:pPr>
        <w:autoSpaceDE w:val="0"/>
        <w:autoSpaceDN w:val="0"/>
        <w:adjustRightInd w:val="0"/>
        <w:spacing w:line="240" w:lineRule="auto"/>
        <w:jc w:val="left"/>
        <w:rPr>
          <w:rFonts w:cs="Arial"/>
          <w:color w:val="381A0A"/>
          <w:sz w:val="21"/>
          <w:szCs w:val="21"/>
          <w:shd w:val="clear" w:color="auto" w:fill="FFFFFF"/>
        </w:rPr>
      </w:pPr>
      <w:r w:rsidRPr="001A58B3">
        <w:rPr>
          <w:rFonts w:cs="Arial"/>
          <w:color w:val="381A0A"/>
          <w:sz w:val="21"/>
          <w:szCs w:val="21"/>
          <w:shd w:val="clear" w:color="auto" w:fill="FFFFFF"/>
        </w:rPr>
        <w:t xml:space="preserve">Les branches pourraient trouver intéressant de s’approprier les nouveaux outils issus de la loi PACTE pour atteindre 3 objectifs : </w:t>
      </w:r>
    </w:p>
    <w:p w:rsidR="00331EFB" w:rsidRPr="001A58B3" w:rsidRDefault="00331EFB" w:rsidP="00331EFB">
      <w:pPr>
        <w:pStyle w:val="Paragraphedeliste"/>
        <w:numPr>
          <w:ilvl w:val="0"/>
          <w:numId w:val="12"/>
        </w:numPr>
        <w:autoSpaceDE w:val="0"/>
        <w:autoSpaceDN w:val="0"/>
        <w:adjustRightInd w:val="0"/>
        <w:spacing w:line="240" w:lineRule="auto"/>
        <w:jc w:val="left"/>
        <w:rPr>
          <w:rFonts w:cs="Arial"/>
          <w:color w:val="381A0A"/>
          <w:sz w:val="21"/>
          <w:szCs w:val="21"/>
          <w:shd w:val="clear" w:color="auto" w:fill="FFFFFF"/>
        </w:rPr>
      </w:pPr>
      <w:r w:rsidRPr="001A58B3">
        <w:rPr>
          <w:rFonts w:cs="Arial"/>
          <w:color w:val="381A0A"/>
          <w:sz w:val="21"/>
          <w:szCs w:val="21"/>
          <w:shd w:val="clear" w:color="auto" w:fill="FFFFFF"/>
        </w:rPr>
        <w:t>Combler les écarts de cotisations (taux d’appel) décrits ci-dessus pour compléter les droits à retraite future des salariés</w:t>
      </w:r>
    </w:p>
    <w:p w:rsidR="00331EFB" w:rsidRPr="001A58B3" w:rsidRDefault="00331EFB" w:rsidP="00331EFB">
      <w:pPr>
        <w:pStyle w:val="Paragraphedeliste"/>
        <w:numPr>
          <w:ilvl w:val="0"/>
          <w:numId w:val="12"/>
        </w:numPr>
        <w:autoSpaceDE w:val="0"/>
        <w:autoSpaceDN w:val="0"/>
        <w:adjustRightInd w:val="0"/>
        <w:spacing w:line="240" w:lineRule="auto"/>
        <w:jc w:val="left"/>
        <w:rPr>
          <w:rFonts w:cs="Arial"/>
          <w:color w:val="381A0A"/>
          <w:sz w:val="21"/>
          <w:szCs w:val="21"/>
          <w:shd w:val="clear" w:color="auto" w:fill="FFFFFF"/>
        </w:rPr>
      </w:pPr>
      <w:r w:rsidRPr="001A58B3">
        <w:rPr>
          <w:rFonts w:cs="Arial"/>
          <w:color w:val="381A0A"/>
          <w:sz w:val="21"/>
          <w:szCs w:val="21"/>
          <w:shd w:val="clear" w:color="auto" w:fill="FFFFFF"/>
        </w:rPr>
        <w:t>Donner accès à une défiscalisation des versements individuels des salariés (10% de la rémunération)</w:t>
      </w:r>
      <w:r w:rsidR="001A58B3" w:rsidRPr="001A58B3">
        <w:rPr>
          <w:rFonts w:cs="Arial"/>
          <w:color w:val="381A0A"/>
          <w:sz w:val="21"/>
          <w:szCs w:val="21"/>
          <w:shd w:val="clear" w:color="auto" w:fill="FFFFFF"/>
        </w:rPr>
        <w:t xml:space="preserve"> en installant un régime obligatoire socle.</w:t>
      </w:r>
    </w:p>
    <w:p w:rsidR="001A58B3" w:rsidRPr="001A58B3" w:rsidRDefault="001A58B3" w:rsidP="00331EFB">
      <w:pPr>
        <w:pStyle w:val="Paragraphedeliste"/>
        <w:numPr>
          <w:ilvl w:val="0"/>
          <w:numId w:val="12"/>
        </w:numPr>
        <w:autoSpaceDE w:val="0"/>
        <w:autoSpaceDN w:val="0"/>
        <w:adjustRightInd w:val="0"/>
        <w:spacing w:line="240" w:lineRule="auto"/>
        <w:jc w:val="left"/>
        <w:rPr>
          <w:rFonts w:cs="Arial"/>
          <w:color w:val="381A0A"/>
          <w:sz w:val="21"/>
          <w:szCs w:val="21"/>
          <w:shd w:val="clear" w:color="auto" w:fill="FFFFFF"/>
        </w:rPr>
      </w:pPr>
      <w:r w:rsidRPr="001A58B3">
        <w:rPr>
          <w:rFonts w:cs="Arial"/>
          <w:color w:val="381A0A"/>
          <w:sz w:val="21"/>
          <w:szCs w:val="21"/>
          <w:shd w:val="clear" w:color="auto" w:fill="FFFFFF"/>
        </w:rPr>
        <w:t>Piloter paritairement ces nouveaux mécanisme</w:t>
      </w:r>
      <w:r>
        <w:rPr>
          <w:rFonts w:cs="Arial"/>
          <w:color w:val="381A0A"/>
          <w:sz w:val="21"/>
          <w:szCs w:val="21"/>
          <w:shd w:val="clear" w:color="auto" w:fill="FFFFFF"/>
        </w:rPr>
        <w:t>s</w:t>
      </w:r>
      <w:r w:rsidRPr="001A58B3">
        <w:rPr>
          <w:rFonts w:cs="Arial"/>
          <w:color w:val="381A0A"/>
          <w:sz w:val="21"/>
          <w:szCs w:val="21"/>
          <w:shd w:val="clear" w:color="auto" w:fill="FFFFFF"/>
        </w:rPr>
        <w:t xml:space="preserve"> de retraite en favorisant les investissements socialement responsables</w:t>
      </w:r>
    </w:p>
    <w:p w:rsidR="00772BFA" w:rsidRDefault="00772BFA" w:rsidP="00096A71">
      <w:pPr>
        <w:autoSpaceDE w:val="0"/>
        <w:autoSpaceDN w:val="0"/>
        <w:adjustRightInd w:val="0"/>
        <w:spacing w:line="240" w:lineRule="auto"/>
        <w:jc w:val="left"/>
        <w:rPr>
          <w:rFonts w:cs="Arial"/>
          <w:b/>
          <w:bCs/>
          <w:color w:val="381A0A"/>
          <w:sz w:val="21"/>
          <w:szCs w:val="21"/>
          <w:shd w:val="clear" w:color="auto" w:fill="FFFFFF"/>
        </w:rPr>
      </w:pPr>
    </w:p>
    <w:p w:rsidR="00754E6E" w:rsidRPr="00754E6E" w:rsidRDefault="00754E6E" w:rsidP="00754E6E">
      <w:pPr>
        <w:rPr>
          <w:rFonts w:cs="Arial"/>
          <w:color w:val="381A0A"/>
          <w:sz w:val="21"/>
          <w:szCs w:val="21"/>
          <w:shd w:val="clear" w:color="auto" w:fill="FFFFFF"/>
        </w:rPr>
      </w:pPr>
      <w:r w:rsidRPr="00754E6E">
        <w:rPr>
          <w:rFonts w:cs="Arial"/>
          <w:color w:val="381A0A"/>
          <w:sz w:val="21"/>
          <w:szCs w:val="21"/>
          <w:shd w:val="clear" w:color="auto" w:fill="FFFFFF"/>
        </w:rPr>
        <w:t>Vos interlocuteurs habituels de la Direction des accords de branches restent à votre disposition pour vous apporter toute précision utile.</w:t>
      </w:r>
    </w:p>
    <w:p w:rsidR="0091266F" w:rsidRDefault="0091266F" w:rsidP="00096A71">
      <w:pPr>
        <w:autoSpaceDE w:val="0"/>
        <w:autoSpaceDN w:val="0"/>
        <w:adjustRightInd w:val="0"/>
        <w:spacing w:line="240" w:lineRule="auto"/>
        <w:jc w:val="left"/>
        <w:rPr>
          <w:rFonts w:cs="Arial"/>
          <w:b/>
          <w:bCs/>
          <w:color w:val="381A0A"/>
          <w:sz w:val="21"/>
          <w:szCs w:val="21"/>
          <w:shd w:val="clear" w:color="auto" w:fill="FFFFFF"/>
        </w:rPr>
      </w:pPr>
    </w:p>
    <w:p w:rsidR="00096A71" w:rsidRDefault="0091266F" w:rsidP="00096A71">
      <w:pPr>
        <w:autoSpaceDE w:val="0"/>
        <w:autoSpaceDN w:val="0"/>
        <w:adjustRightInd w:val="0"/>
        <w:spacing w:line="240" w:lineRule="auto"/>
        <w:jc w:val="left"/>
        <w:rPr>
          <w:rFonts w:ascii="Relative-Book" w:hAnsi="Relative-Book" w:cs="Relative-Book"/>
          <w:sz w:val="19"/>
          <w:szCs w:val="19"/>
        </w:rPr>
      </w:pPr>
      <w:bookmarkStart w:id="1" w:name="_GoBack"/>
      <w:bookmarkEnd w:id="1"/>
      <w:r>
        <w:rPr>
          <w:rFonts w:ascii="Relative-Book" w:hAnsi="Relative-Book" w:cs="Relative-Book"/>
          <w:sz w:val="19"/>
          <w:szCs w:val="19"/>
        </w:rPr>
        <w:t>LIEN DE REDIRECTION</w:t>
      </w:r>
      <w:r w:rsidR="00FD7950">
        <w:rPr>
          <w:rFonts w:ascii="Relative-Book" w:hAnsi="Relative-Book" w:cs="Relative-Book"/>
          <w:sz w:val="19"/>
          <w:szCs w:val="19"/>
        </w:rPr>
        <w:t xml:space="preserve"> : </w:t>
      </w:r>
      <w:hyperlink r:id="rId15" w:history="1">
        <w:r w:rsidR="00FD7950" w:rsidRPr="00D669B3">
          <w:rPr>
            <w:rStyle w:val="Lienhypertexte"/>
            <w:rFonts w:ascii="Relative-Book" w:hAnsi="Relative-Book" w:cs="Relative-Book"/>
            <w:sz w:val="19"/>
            <w:szCs w:val="19"/>
          </w:rPr>
          <w:t>https://www.ag2rlamondiale.fr/culture-branches/concept-et-evenements/retrouvez-tous-nos-evenements-pour-les-negociateurs-de-branche/conseil-retraite-loi-pacte-ce-qui-change-pour-les-branches-professionnelles</w:t>
        </w:r>
      </w:hyperlink>
    </w:p>
    <w:p w:rsidR="00FD7950" w:rsidRDefault="00FD7950" w:rsidP="00096A71">
      <w:pPr>
        <w:autoSpaceDE w:val="0"/>
        <w:autoSpaceDN w:val="0"/>
        <w:adjustRightInd w:val="0"/>
        <w:spacing w:line="240" w:lineRule="auto"/>
        <w:jc w:val="left"/>
        <w:rPr>
          <w:rFonts w:ascii="Relative-Book" w:hAnsi="Relative-Book" w:cs="Relative-Book"/>
          <w:sz w:val="19"/>
          <w:szCs w:val="19"/>
        </w:rPr>
      </w:pPr>
    </w:p>
    <w:sectPr w:rsidR="00FD7950" w:rsidSect="00EE4B11">
      <w:headerReference w:type="default" r:id="rId16"/>
      <w:footerReference w:type="default" r:id="rId17"/>
      <w:headerReference w:type="first" r:id="rId18"/>
      <w:footerReference w:type="first" r:id="rId19"/>
      <w:type w:val="continuous"/>
      <w:pgSz w:w="11906" w:h="16838" w:code="9"/>
      <w:pgMar w:top="2262" w:right="1179" w:bottom="2393" w:left="1525" w:header="64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E17" w:rsidRDefault="00414E17">
      <w:r>
        <w:separator/>
      </w:r>
    </w:p>
  </w:endnote>
  <w:endnote w:type="continuationSeparator" w:id="0">
    <w:p w:rsidR="00414E17" w:rsidRDefault="0041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elative-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810" w:tblpY="14907"/>
      <w:tblOverlap w:val="never"/>
      <w:tblW w:w="0" w:type="auto"/>
      <w:tblLayout w:type="fixed"/>
      <w:tblCellMar>
        <w:left w:w="0" w:type="dxa"/>
        <w:right w:w="0" w:type="dxa"/>
      </w:tblCellMar>
      <w:tblLook w:val="01E0" w:firstRow="1" w:lastRow="1" w:firstColumn="1" w:lastColumn="1" w:noHBand="0" w:noVBand="0"/>
    </w:tblPr>
    <w:tblGrid>
      <w:gridCol w:w="8460"/>
    </w:tblGrid>
    <w:tr w:rsidR="00D20C74">
      <w:trPr>
        <w:cantSplit/>
        <w:trHeight w:hRule="exact" w:val="220"/>
      </w:trPr>
      <w:tc>
        <w:tcPr>
          <w:tcW w:w="8460" w:type="dxa"/>
          <w:tcMar>
            <w:left w:w="0" w:type="dxa"/>
            <w:right w:w="0" w:type="dxa"/>
          </w:tcMar>
        </w:tcPr>
        <w:p w:rsidR="00D20C74" w:rsidRDefault="00D20C74" w:rsidP="00F53D07">
          <w:pPr>
            <w:pStyle w:val="Pieddepage"/>
            <w:spacing w:line="200" w:lineRule="exact"/>
          </w:pPr>
          <w:r>
            <w:rPr>
              <w:rStyle w:val="Numrodepage"/>
            </w:rPr>
            <w:fldChar w:fldCharType="begin"/>
          </w:r>
          <w:r>
            <w:rPr>
              <w:rStyle w:val="Numrodepage"/>
            </w:rPr>
            <w:instrText xml:space="preserve"> PAGE </w:instrText>
          </w:r>
          <w:r>
            <w:rPr>
              <w:rStyle w:val="Numrodepage"/>
            </w:rPr>
            <w:fldChar w:fldCharType="separate"/>
          </w:r>
          <w:r w:rsidR="00AE015A">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AE015A">
            <w:rPr>
              <w:rStyle w:val="Numrodepage"/>
              <w:noProof/>
            </w:rPr>
            <w:t>2</w:t>
          </w:r>
          <w:r>
            <w:rPr>
              <w:rStyle w:val="Numrodepage"/>
            </w:rPr>
            <w:fldChar w:fldCharType="end"/>
          </w:r>
        </w:p>
      </w:tc>
    </w:tr>
    <w:tr w:rsidR="00D20C74">
      <w:trPr>
        <w:cantSplit/>
        <w:trHeight w:hRule="exact" w:val="220"/>
      </w:trPr>
      <w:tc>
        <w:tcPr>
          <w:tcW w:w="6800" w:type="dxa"/>
          <w:tcMar>
            <w:left w:w="0" w:type="dxa"/>
            <w:right w:w="0" w:type="dxa"/>
          </w:tcMar>
        </w:tcPr>
        <w:p w:rsidR="00D20C74" w:rsidRDefault="00D20C74" w:rsidP="00F53D07">
          <w:pPr>
            <w:pStyle w:val="Pieddepage"/>
            <w:spacing w:line="240" w:lineRule="auto"/>
          </w:pPr>
        </w:p>
      </w:tc>
    </w:tr>
    <w:tr w:rsidR="00D20C74">
      <w:trPr>
        <w:cantSplit/>
      </w:trPr>
      <w:tc>
        <w:tcPr>
          <w:tcW w:w="6800" w:type="dxa"/>
          <w:tcMar>
            <w:left w:w="0" w:type="dxa"/>
            <w:right w:w="0" w:type="dxa"/>
          </w:tcMar>
        </w:tcPr>
        <w:p w:rsidR="00D20C74" w:rsidRDefault="00D20C74" w:rsidP="00F53D07">
          <w:pPr>
            <w:pStyle w:val="Pieddepage"/>
          </w:pPr>
        </w:p>
      </w:tc>
    </w:tr>
  </w:tbl>
  <w:p w:rsidR="00D20C74" w:rsidRDefault="00D20C74" w:rsidP="00A05E39">
    <w:pPr>
      <w:pStyle w:val="En-tte"/>
      <w:tabs>
        <w:tab w:val="clear" w:pos="4536"/>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462" w:rsidRPr="0083611B" w:rsidRDefault="00AE015A">
    <w:pPr>
      <w:pStyle w:val="Pieddepage"/>
      <w:rPr>
        <w:color w:val="381A0A"/>
      </w:rPr>
    </w:pPr>
    <w:r w:rsidRPr="0083611B">
      <w:rPr>
        <w:color w:val="381A0A"/>
      </w:rPr>
      <w:t>Ce document orig</w:t>
    </w:r>
    <w:r w:rsidR="000C11C2">
      <w:rPr>
        <w:color w:val="381A0A"/>
      </w:rPr>
      <w:t>inal est la propriété d’</w:t>
    </w:r>
    <w:r w:rsidRPr="0083611B">
      <w:rPr>
        <w:color w:val="381A0A"/>
      </w:rPr>
      <w:t>AG2R LA MONDIALE. Toute reproduction ou cession est interdite. Non contractuel, ce document n'est ni un conseil fourni ni une consultation et ne peut engager la responsabilité du Groupe en cas d'exploitation.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E17" w:rsidRDefault="00414E17">
      <w:r>
        <w:separator/>
      </w:r>
    </w:p>
  </w:footnote>
  <w:footnote w:type="continuationSeparator" w:id="0">
    <w:p w:rsidR="00414E17" w:rsidRDefault="0041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Form.Colour.LogoNameSecond"/>
      <w:tag w:val="{&quot;templafy&quot;:{&quot;id&quot;:&quot;89d3dac6-767e-434a-963d-10c0123a61e3&quot;}}"/>
      <w:id w:val="1167527758"/>
      <w:picture/>
    </w:sdtPr>
    <w:sdtEndPr/>
    <w:sdtContent>
      <w:p w:rsidR="00D20C74" w:rsidRDefault="006A3004" w:rsidP="00493722">
        <w:pPr>
          <w:pStyle w:val="En-tte"/>
          <w:tabs>
            <w:tab w:val="clear" w:pos="4536"/>
            <w:tab w:val="clear" w:pos="9072"/>
            <w:tab w:val="center" w:pos="3402"/>
            <w:tab w:val="right" w:pos="6804"/>
          </w:tabs>
          <w:ind w:left="-284"/>
        </w:pPr>
        <w:r>
          <w:rPr>
            <w:noProof/>
          </w:rPr>
          <w:drawing>
            <wp:inline distT="0" distB="0" distL="0" distR="0">
              <wp:extent cx="2880000" cy="864000"/>
              <wp:effectExtent l="0" t="0" r="0" b="0"/>
              <wp:docPr id="1158202864" name="Afbeelding 4"/>
              <wp:cNvGraphicFramePr/>
              <a:graphic xmlns:a="http://schemas.openxmlformats.org/drawingml/2006/main">
                <a:graphicData uri="http://schemas.openxmlformats.org/drawingml/2006/picture">
                  <pic:pic xmlns:pic="http://schemas.openxmlformats.org/drawingml/2006/picture">
                    <pic:nvPicPr>
                      <pic:cNvPr id="1158202864" name="Afbeelding 4"/>
                      <pic:cNvPicPr/>
                    </pic:nvPicPr>
                    <pic:blipFill>
                      <a:blip r:embed="rId1"/>
                      <a:srcRect/>
                      <a:stretch/>
                    </pic:blipFill>
                    <pic:spPr>
                      <a:xfrm>
                        <a:off x="0" y="0"/>
                        <a:ext cx="2880000" cy="864000"/>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Form.Colour.LogoName"/>
      <w:tag w:val="{&quot;templafy&quot;:{&quot;id&quot;:&quot;09dc9a3f-d064-4ba3-afb1-abf48772f6b8&quot;}}"/>
      <w:id w:val="-1589759883"/>
      <w:picture/>
    </w:sdtPr>
    <w:sdtEndPr/>
    <w:sdtContent>
      <w:p w:rsidR="00C6115C" w:rsidRDefault="006A3004" w:rsidP="00C6115C">
        <w:pPr>
          <w:pStyle w:val="En-tte"/>
          <w:ind w:left="-284"/>
        </w:pPr>
        <w:r>
          <w:rPr>
            <w:noProof/>
          </w:rPr>
          <w:drawing>
            <wp:inline distT="0" distB="0" distL="0" distR="0">
              <wp:extent cx="2880000" cy="864000"/>
              <wp:effectExtent l="0" t="0" r="0" b="0"/>
              <wp:docPr id="1436713215" name="Afbeelding 3"/>
              <wp:cNvGraphicFramePr/>
              <a:graphic xmlns:a="http://schemas.openxmlformats.org/drawingml/2006/main">
                <a:graphicData uri="http://schemas.openxmlformats.org/drawingml/2006/picture">
                  <pic:pic xmlns:pic="http://schemas.openxmlformats.org/drawingml/2006/picture">
                    <pic:nvPicPr>
                      <pic:cNvPr id="1436713215" name="Afbeelding 3"/>
                      <pic:cNvPicPr/>
                    </pic:nvPicPr>
                    <pic:blipFill>
                      <a:blip r:embed="rId1"/>
                      <a:srcRect/>
                      <a:stretch/>
                    </pic:blipFill>
                    <pic:spPr>
                      <a:xfrm>
                        <a:off x="0" y="0"/>
                        <a:ext cx="2880000" cy="864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4A40"/>
    <w:multiLevelType w:val="hybridMultilevel"/>
    <w:tmpl w:val="5AD29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7765C6"/>
    <w:multiLevelType w:val="hybridMultilevel"/>
    <w:tmpl w:val="810287A4"/>
    <w:lvl w:ilvl="0" w:tplc="3A3C5B78">
      <w:start w:val="1"/>
      <w:numFmt w:val="bullet"/>
      <w:lvlText w:val=""/>
      <w:lvlJc w:val="left"/>
      <w:pPr>
        <w:tabs>
          <w:tab w:val="num" w:pos="283"/>
        </w:tabs>
        <w:ind w:left="850" w:hanging="311"/>
      </w:pPr>
      <w:rPr>
        <w:rFonts w:ascii="Wingdings" w:hAnsi="Wingdings" w:hint="default"/>
        <w:b/>
        <w:i w:val="0"/>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60783D"/>
    <w:multiLevelType w:val="hybridMultilevel"/>
    <w:tmpl w:val="6A14156E"/>
    <w:lvl w:ilvl="0" w:tplc="38FA3A14">
      <w:start w:val="1"/>
      <w:numFmt w:val="bullet"/>
      <w:lvlText w:val="–"/>
      <w:lvlJc w:val="left"/>
      <w:pPr>
        <w:tabs>
          <w:tab w:val="num" w:pos="482"/>
        </w:tabs>
        <w:ind w:left="482" w:hanging="198"/>
      </w:pPr>
      <w:rPr>
        <w:rFonts w:ascii="Arial" w:hAnsi="Arial" w:hint="default"/>
        <w:b/>
        <w:i w:val="0"/>
        <w:color w:val="auto"/>
        <w:sz w:val="22"/>
        <w:szCs w:val="22"/>
      </w:rPr>
    </w:lvl>
    <w:lvl w:ilvl="1" w:tplc="03D45EDA">
      <w:start w:val="1"/>
      <w:numFmt w:val="bullet"/>
      <w:lvlText w:val=""/>
      <w:lvlJc w:val="left"/>
      <w:pPr>
        <w:tabs>
          <w:tab w:val="num" w:pos="1505"/>
        </w:tabs>
        <w:ind w:left="1505" w:hanging="425"/>
      </w:pPr>
      <w:rPr>
        <w:rFonts w:ascii="Wingdings" w:hAnsi="Wingdings" w:hint="default"/>
        <w:b w:val="0"/>
        <w:i w:val="0"/>
        <w:color w:val="999999"/>
        <w:sz w:val="18"/>
        <w:szCs w:val="1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9F088B"/>
    <w:multiLevelType w:val="hybridMultilevel"/>
    <w:tmpl w:val="73AADFD0"/>
    <w:lvl w:ilvl="0" w:tplc="CCDE000E">
      <w:start w:val="1"/>
      <w:numFmt w:val="bullet"/>
      <w:lvlText w:val="»"/>
      <w:lvlJc w:val="left"/>
      <w:pPr>
        <w:tabs>
          <w:tab w:val="num" w:pos="1276"/>
        </w:tabs>
        <w:ind w:left="1276" w:hanging="425"/>
      </w:pPr>
      <w:rPr>
        <w:rFonts w:ascii="Arial" w:hAnsi="Arial" w:hint="default"/>
        <w:b/>
        <w:i w:val="0"/>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0619F8"/>
    <w:multiLevelType w:val="hybridMultilevel"/>
    <w:tmpl w:val="750A7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B42F1F"/>
    <w:multiLevelType w:val="hybridMultilevel"/>
    <w:tmpl w:val="E018A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2E5AD9"/>
    <w:multiLevelType w:val="hybridMultilevel"/>
    <w:tmpl w:val="79869EDE"/>
    <w:lvl w:ilvl="0" w:tplc="27F41BB6">
      <w:start w:val="1"/>
      <w:numFmt w:val="bullet"/>
      <w:lvlText w:val="•"/>
      <w:lvlJc w:val="left"/>
      <w:pPr>
        <w:tabs>
          <w:tab w:val="num" w:pos="284"/>
        </w:tabs>
        <w:ind w:left="284" w:hanging="284"/>
      </w:pPr>
      <w:rPr>
        <w:rFonts w:ascii="Arial" w:hAnsi="Arial" w:hint="default"/>
        <w:b/>
        <w:i w:val="0"/>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FE4F6B"/>
    <w:multiLevelType w:val="multilevel"/>
    <w:tmpl w:val="224C416E"/>
    <w:lvl w:ilvl="0">
      <w:start w:val="1"/>
      <w:numFmt w:val="bullet"/>
      <w:pStyle w:val="Pucetiret"/>
      <w:lvlText w:val=""/>
      <w:lvlJc w:val="left"/>
      <w:pPr>
        <w:ind w:left="360" w:hanging="360"/>
      </w:pPr>
      <w:rPr>
        <w:rFonts w:ascii="Symbol" w:hAnsi="Symbol" w:hint="default"/>
        <w:color w:val="auto"/>
      </w:rPr>
    </w:lvl>
    <w:lvl w:ilvl="1">
      <w:start w:val="1"/>
      <w:numFmt w:val="bullet"/>
      <w:pStyle w:val="Puceronde"/>
      <w:lvlText w:val=""/>
      <w:lvlJc w:val="left"/>
      <w:pPr>
        <w:ind w:left="720" w:hanging="360"/>
      </w:pPr>
      <w:rPr>
        <w:rFonts w:ascii="Symbol" w:hAnsi="Symbol" w:hint="default"/>
        <w:color w:val="auto"/>
      </w:rPr>
    </w:lvl>
    <w:lvl w:ilvl="2">
      <w:start w:val="1"/>
      <w:numFmt w:val="bullet"/>
      <w:pStyle w:val="Puceflche"/>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FC39F5"/>
    <w:multiLevelType w:val="hybridMultilevel"/>
    <w:tmpl w:val="3320D10E"/>
    <w:lvl w:ilvl="0" w:tplc="9C644DEE">
      <w:numFmt w:val="bullet"/>
      <w:lvlText w:val="-"/>
      <w:lvlJc w:val="left"/>
      <w:pPr>
        <w:ind w:left="720" w:hanging="360"/>
      </w:pPr>
      <w:rPr>
        <w:rFonts w:ascii="Relative-Book" w:eastAsia="Times New Roman" w:hAnsi="Relative-Book" w:cs="Relative-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6A4761"/>
    <w:multiLevelType w:val="hybridMultilevel"/>
    <w:tmpl w:val="27CADD88"/>
    <w:lvl w:ilvl="0" w:tplc="D87EE732">
      <w:numFmt w:val="bullet"/>
      <w:lvlText w:val="-"/>
      <w:lvlJc w:val="left"/>
      <w:pPr>
        <w:ind w:left="720" w:hanging="360"/>
      </w:pPr>
      <w:rPr>
        <w:rFonts w:ascii="Relative-Book" w:eastAsia="Times New Roman" w:hAnsi="Relative-Book" w:cs="Relative-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6854E0"/>
    <w:multiLevelType w:val="hybridMultilevel"/>
    <w:tmpl w:val="B7885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1"/>
  </w:num>
  <w:num w:numId="6">
    <w:abstractNumId w:val="3"/>
  </w:num>
  <w:num w:numId="7">
    <w:abstractNumId w:val="6"/>
  </w:num>
  <w:num w:numId="8">
    <w:abstractNumId w:val="2"/>
  </w:num>
  <w:num w:numId="9">
    <w:abstractNumId w:val="7"/>
  </w:num>
  <w:num w:numId="10">
    <w:abstractNumId w:val="7"/>
  </w:num>
  <w:num w:numId="11">
    <w:abstractNumId w:val="7"/>
  </w:num>
  <w:num w:numId="12">
    <w:abstractNumId w:val="8"/>
  </w:num>
  <w:num w:numId="13">
    <w:abstractNumId w:val="9"/>
  </w:num>
  <w:num w:numId="14">
    <w:abstractNumId w:val="10"/>
  </w:num>
  <w:num w:numId="15">
    <w:abstractNumId w:val="4"/>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5A"/>
    <w:rsid w:val="0000345B"/>
    <w:rsid w:val="000043B1"/>
    <w:rsid w:val="000166DC"/>
    <w:rsid w:val="00017548"/>
    <w:rsid w:val="00024FBC"/>
    <w:rsid w:val="00025A60"/>
    <w:rsid w:val="000371EC"/>
    <w:rsid w:val="000474D2"/>
    <w:rsid w:val="00050330"/>
    <w:rsid w:val="0005125E"/>
    <w:rsid w:val="000929DB"/>
    <w:rsid w:val="00096A71"/>
    <w:rsid w:val="000B7E02"/>
    <w:rsid w:val="000C11C2"/>
    <w:rsid w:val="000F750C"/>
    <w:rsid w:val="001062DC"/>
    <w:rsid w:val="00116BD4"/>
    <w:rsid w:val="001216B6"/>
    <w:rsid w:val="00123FF2"/>
    <w:rsid w:val="00130E46"/>
    <w:rsid w:val="0013123B"/>
    <w:rsid w:val="00151F7F"/>
    <w:rsid w:val="0018232C"/>
    <w:rsid w:val="00190B8E"/>
    <w:rsid w:val="001A58B3"/>
    <w:rsid w:val="001A6AEE"/>
    <w:rsid w:val="001C3787"/>
    <w:rsid w:val="001C617F"/>
    <w:rsid w:val="00204320"/>
    <w:rsid w:val="00217748"/>
    <w:rsid w:val="0023008D"/>
    <w:rsid w:val="0025640B"/>
    <w:rsid w:val="00262B67"/>
    <w:rsid w:val="00262F86"/>
    <w:rsid w:val="0027174E"/>
    <w:rsid w:val="002A3EBA"/>
    <w:rsid w:val="002F48E4"/>
    <w:rsid w:val="002F5CB6"/>
    <w:rsid w:val="00300D96"/>
    <w:rsid w:val="0030140F"/>
    <w:rsid w:val="00316394"/>
    <w:rsid w:val="00331EFB"/>
    <w:rsid w:val="0035071C"/>
    <w:rsid w:val="0037277A"/>
    <w:rsid w:val="00376220"/>
    <w:rsid w:val="00393209"/>
    <w:rsid w:val="0039484E"/>
    <w:rsid w:val="003A222E"/>
    <w:rsid w:val="003A27FF"/>
    <w:rsid w:val="003E6B2F"/>
    <w:rsid w:val="003F503F"/>
    <w:rsid w:val="003F7DD1"/>
    <w:rsid w:val="00414E17"/>
    <w:rsid w:val="00426668"/>
    <w:rsid w:val="00444F4D"/>
    <w:rsid w:val="004554C5"/>
    <w:rsid w:val="0046411A"/>
    <w:rsid w:val="00493722"/>
    <w:rsid w:val="004A63EE"/>
    <w:rsid w:val="004B3D5D"/>
    <w:rsid w:val="004C7C95"/>
    <w:rsid w:val="004C7F80"/>
    <w:rsid w:val="004E0ADB"/>
    <w:rsid w:val="004E1707"/>
    <w:rsid w:val="00540172"/>
    <w:rsid w:val="00540197"/>
    <w:rsid w:val="00547317"/>
    <w:rsid w:val="00553EC4"/>
    <w:rsid w:val="00560341"/>
    <w:rsid w:val="005A43C6"/>
    <w:rsid w:val="005A5EB1"/>
    <w:rsid w:val="005C0290"/>
    <w:rsid w:val="005D1D3D"/>
    <w:rsid w:val="005D29E3"/>
    <w:rsid w:val="005D398F"/>
    <w:rsid w:val="005E45F6"/>
    <w:rsid w:val="005F483F"/>
    <w:rsid w:val="00601524"/>
    <w:rsid w:val="006366C7"/>
    <w:rsid w:val="00636A92"/>
    <w:rsid w:val="00687DBF"/>
    <w:rsid w:val="00691A10"/>
    <w:rsid w:val="006A15CF"/>
    <w:rsid w:val="006A3004"/>
    <w:rsid w:val="006B5D35"/>
    <w:rsid w:val="006F26F9"/>
    <w:rsid w:val="00717603"/>
    <w:rsid w:val="00717E54"/>
    <w:rsid w:val="00725944"/>
    <w:rsid w:val="007372BB"/>
    <w:rsid w:val="00754E6E"/>
    <w:rsid w:val="00755F03"/>
    <w:rsid w:val="0076519A"/>
    <w:rsid w:val="00772BFA"/>
    <w:rsid w:val="00776F2C"/>
    <w:rsid w:val="007906F3"/>
    <w:rsid w:val="007A6630"/>
    <w:rsid w:val="007A6EB9"/>
    <w:rsid w:val="007B37C7"/>
    <w:rsid w:val="007D3CD8"/>
    <w:rsid w:val="0081568A"/>
    <w:rsid w:val="00826897"/>
    <w:rsid w:val="00830D86"/>
    <w:rsid w:val="0083611B"/>
    <w:rsid w:val="00845E15"/>
    <w:rsid w:val="008663C6"/>
    <w:rsid w:val="0086705E"/>
    <w:rsid w:val="008760AD"/>
    <w:rsid w:val="00876DF3"/>
    <w:rsid w:val="00877A16"/>
    <w:rsid w:val="008858D0"/>
    <w:rsid w:val="008A2C9C"/>
    <w:rsid w:val="008A7912"/>
    <w:rsid w:val="008D25E1"/>
    <w:rsid w:val="008D3FDD"/>
    <w:rsid w:val="0090194E"/>
    <w:rsid w:val="0091266F"/>
    <w:rsid w:val="00915BB6"/>
    <w:rsid w:val="00942BD9"/>
    <w:rsid w:val="00952795"/>
    <w:rsid w:val="009559E7"/>
    <w:rsid w:val="00960567"/>
    <w:rsid w:val="00961AA4"/>
    <w:rsid w:val="009866C8"/>
    <w:rsid w:val="00991E73"/>
    <w:rsid w:val="00A03D73"/>
    <w:rsid w:val="00A05E39"/>
    <w:rsid w:val="00A21EAF"/>
    <w:rsid w:val="00A3421E"/>
    <w:rsid w:val="00A43D81"/>
    <w:rsid w:val="00A8461F"/>
    <w:rsid w:val="00A90A51"/>
    <w:rsid w:val="00AB0A50"/>
    <w:rsid w:val="00AB2DB0"/>
    <w:rsid w:val="00AB6BB7"/>
    <w:rsid w:val="00AE015A"/>
    <w:rsid w:val="00AE588A"/>
    <w:rsid w:val="00B00462"/>
    <w:rsid w:val="00B11057"/>
    <w:rsid w:val="00B12C87"/>
    <w:rsid w:val="00B14430"/>
    <w:rsid w:val="00B16177"/>
    <w:rsid w:val="00B2467C"/>
    <w:rsid w:val="00B51D79"/>
    <w:rsid w:val="00B66A68"/>
    <w:rsid w:val="00B746CA"/>
    <w:rsid w:val="00BB06AC"/>
    <w:rsid w:val="00BB14F5"/>
    <w:rsid w:val="00BB31FB"/>
    <w:rsid w:val="00BF0ADA"/>
    <w:rsid w:val="00C00D58"/>
    <w:rsid w:val="00C059D1"/>
    <w:rsid w:val="00C10096"/>
    <w:rsid w:val="00C263DE"/>
    <w:rsid w:val="00C30685"/>
    <w:rsid w:val="00C340BE"/>
    <w:rsid w:val="00C6115C"/>
    <w:rsid w:val="00C660C0"/>
    <w:rsid w:val="00CC3907"/>
    <w:rsid w:val="00CD7BE0"/>
    <w:rsid w:val="00CE39F7"/>
    <w:rsid w:val="00CF36B0"/>
    <w:rsid w:val="00D20C74"/>
    <w:rsid w:val="00D22760"/>
    <w:rsid w:val="00D37E22"/>
    <w:rsid w:val="00D4117F"/>
    <w:rsid w:val="00D61AB2"/>
    <w:rsid w:val="00D67229"/>
    <w:rsid w:val="00D85D3A"/>
    <w:rsid w:val="00D87A2F"/>
    <w:rsid w:val="00D909CC"/>
    <w:rsid w:val="00E050DA"/>
    <w:rsid w:val="00E21B69"/>
    <w:rsid w:val="00E23D83"/>
    <w:rsid w:val="00E345C4"/>
    <w:rsid w:val="00E41851"/>
    <w:rsid w:val="00E50ADC"/>
    <w:rsid w:val="00E5394D"/>
    <w:rsid w:val="00E6682B"/>
    <w:rsid w:val="00E82443"/>
    <w:rsid w:val="00E910DF"/>
    <w:rsid w:val="00ED253E"/>
    <w:rsid w:val="00EE09BD"/>
    <w:rsid w:val="00EE4B11"/>
    <w:rsid w:val="00F06BCD"/>
    <w:rsid w:val="00F25F64"/>
    <w:rsid w:val="00F30EE7"/>
    <w:rsid w:val="00F31011"/>
    <w:rsid w:val="00F53D07"/>
    <w:rsid w:val="00F679DA"/>
    <w:rsid w:val="00F768B4"/>
    <w:rsid w:val="00F9366F"/>
    <w:rsid w:val="00FC3798"/>
    <w:rsid w:val="00FD79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084B1AB"/>
  <w15:chartTrackingRefBased/>
  <w15:docId w15:val="{EBA92623-9911-428B-9CA9-50FAB7F7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A"/>
    <w:pPr>
      <w:spacing w:line="250" w:lineRule="atLeast"/>
      <w:jc w:val="both"/>
    </w:pPr>
    <w:rPr>
      <w:rFonts w:ascii="Arial" w:hAnsi="Arial"/>
      <w:szCs w:val="24"/>
      <w:lang w:val="fr-FR"/>
    </w:rPr>
  </w:style>
  <w:style w:type="paragraph" w:styleId="Titre1">
    <w:name w:val="heading 1"/>
    <w:basedOn w:val="Normal"/>
    <w:next w:val="Normal"/>
    <w:link w:val="Titre1Car"/>
    <w:qFormat/>
    <w:rsid w:val="00755F03"/>
    <w:pPr>
      <w:keepNext/>
      <w:spacing w:before="240" w:after="60" w:line="240" w:lineRule="auto"/>
      <w:outlineLvl w:val="0"/>
    </w:pPr>
    <w:rPr>
      <w:rFonts w:cs="Arial"/>
      <w:b/>
      <w:bCs/>
      <w:kern w:val="32"/>
      <w:sz w:val="24"/>
    </w:rPr>
  </w:style>
  <w:style w:type="paragraph" w:styleId="Titre2">
    <w:name w:val="heading 2"/>
    <w:basedOn w:val="Normal"/>
    <w:next w:val="Normal"/>
    <w:link w:val="Titre2Car"/>
    <w:qFormat/>
    <w:rsid w:val="00755F03"/>
    <w:pPr>
      <w:keepNext/>
      <w:spacing w:before="240" w:after="60" w:line="240" w:lineRule="auto"/>
      <w:outlineLvl w:val="1"/>
    </w:pPr>
    <w:rPr>
      <w:rFonts w:cs="Arial"/>
      <w:b/>
      <w:bCs/>
      <w:iCs/>
      <w:szCs w:val="20"/>
    </w:rPr>
  </w:style>
  <w:style w:type="paragraph" w:styleId="Titre3">
    <w:name w:val="heading 3"/>
    <w:basedOn w:val="Normal"/>
    <w:next w:val="Normal"/>
    <w:pPr>
      <w:keepNext/>
      <w:spacing w:before="240" w:after="60"/>
      <w:outlineLvl w:val="2"/>
    </w:pPr>
    <w:rPr>
      <w:rFonts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line="180" w:lineRule="atLeast"/>
    </w:pPr>
    <w:rPr>
      <w:sz w:val="13"/>
    </w:rPr>
  </w:style>
  <w:style w:type="paragraph" w:styleId="Pieddepage">
    <w:name w:val="footer"/>
    <w:basedOn w:val="Normal"/>
    <w:pPr>
      <w:spacing w:line="160" w:lineRule="exact"/>
    </w:pPr>
    <w:rPr>
      <w:sz w:val="13"/>
      <w:szCs w:val="13"/>
    </w:rPr>
  </w:style>
  <w:style w:type="character" w:styleId="Numrodepage">
    <w:name w:val="page number"/>
    <w:rPr>
      <w:rFonts w:ascii="Arial" w:hAnsi="Arial"/>
      <w:sz w:val="20"/>
      <w:lang w:val="fr-FR"/>
    </w:rPr>
  </w:style>
  <w:style w:type="paragraph" w:customStyle="1" w:styleId="Expditeurtitre">
    <w:name w:val="Expéditeur_titre"/>
    <w:basedOn w:val="Normal"/>
    <w:pPr>
      <w:spacing w:line="200" w:lineRule="exact"/>
    </w:pPr>
    <w:rPr>
      <w:b/>
      <w:sz w:val="16"/>
    </w:rPr>
  </w:style>
  <w:style w:type="paragraph" w:customStyle="1" w:styleId="Destinatairenom">
    <w:name w:val="Destinataire_nom"/>
    <w:basedOn w:val="Normal"/>
    <w:next w:val="Normal"/>
    <w:pPr>
      <w:framePr w:wrap="auto" w:vAnchor="page" w:hAnchor="page" w:x="7101" w:y="3141"/>
      <w:spacing w:line="260" w:lineRule="exact"/>
      <w:suppressOverlap/>
    </w:pPr>
  </w:style>
  <w:style w:type="paragraph" w:customStyle="1" w:styleId="Destinataireadresse">
    <w:name w:val="Destinataire_adresse"/>
    <w:basedOn w:val="Destinatairenom"/>
    <w:pPr>
      <w:framePr w:wrap="auto"/>
    </w:pPr>
    <w:rPr>
      <w:caps/>
    </w:rPr>
  </w:style>
  <w:style w:type="paragraph" w:customStyle="1" w:styleId="Expditeurtexte">
    <w:name w:val="Expéditeur_texte"/>
    <w:pPr>
      <w:framePr w:wrap="around" w:vAnchor="page" w:hAnchor="margin" w:y="3141"/>
      <w:spacing w:line="200" w:lineRule="exact"/>
      <w:suppressOverlap/>
    </w:pPr>
    <w:rPr>
      <w:rFonts w:ascii="Arial" w:hAnsi="Arial"/>
      <w:sz w:val="16"/>
      <w:lang w:val="fr-FR"/>
    </w:rPr>
  </w:style>
  <w:style w:type="paragraph" w:customStyle="1" w:styleId="Villedate">
    <w:name w:val="Ville_date"/>
    <w:basedOn w:val="Destinatairenom"/>
    <w:pPr>
      <w:framePr w:wrap="auto" w:x="5821" w:y="2701"/>
    </w:pPr>
  </w:style>
  <w:style w:type="paragraph" w:styleId="TM1">
    <w:name w:val="toc 1"/>
    <w:basedOn w:val="Normal"/>
    <w:next w:val="Normal"/>
    <w:autoRedefine/>
    <w:semiHidden/>
    <w:rsid w:val="00426668"/>
    <w:pPr>
      <w:tabs>
        <w:tab w:val="right" w:leader="underscore" w:pos="8908"/>
      </w:tabs>
    </w:pPr>
    <w:rPr>
      <w:b/>
      <w:caps/>
      <w:sz w:val="24"/>
    </w:rPr>
  </w:style>
  <w:style w:type="paragraph" w:styleId="TM2">
    <w:name w:val="toc 2"/>
    <w:basedOn w:val="Normal"/>
    <w:next w:val="Normal"/>
    <w:semiHidden/>
    <w:rsid w:val="00426668"/>
    <w:pPr>
      <w:tabs>
        <w:tab w:val="right" w:leader="underscore" w:pos="8908"/>
      </w:tabs>
    </w:pPr>
    <w:rPr>
      <w:b/>
      <w:caps/>
      <w:szCs w:val="20"/>
    </w:rPr>
  </w:style>
  <w:style w:type="paragraph" w:styleId="TM3">
    <w:name w:val="toc 3"/>
    <w:basedOn w:val="Normal"/>
    <w:next w:val="Normal"/>
    <w:semiHidden/>
    <w:rsid w:val="00426668"/>
    <w:pPr>
      <w:tabs>
        <w:tab w:val="right" w:leader="underscore" w:pos="8908"/>
      </w:tabs>
    </w:pPr>
    <w:rPr>
      <w:b/>
    </w:rPr>
  </w:style>
  <w:style w:type="character" w:styleId="Lienhypertexte">
    <w:name w:val="Hyperlink"/>
    <w:rsid w:val="00426668"/>
    <w:rPr>
      <w:color w:val="0000FF"/>
      <w:u w:val="single"/>
      <w:lang w:val="fr-FR"/>
    </w:rPr>
  </w:style>
  <w:style w:type="character" w:customStyle="1" w:styleId="Titre1Car">
    <w:name w:val="Titre 1 Car"/>
    <w:basedOn w:val="Policepardfaut"/>
    <w:link w:val="Titre1"/>
    <w:rsid w:val="00755F03"/>
    <w:rPr>
      <w:rFonts w:ascii="Arial" w:hAnsi="Arial" w:cs="Arial"/>
      <w:b/>
      <w:bCs/>
      <w:kern w:val="32"/>
      <w:sz w:val="24"/>
      <w:szCs w:val="24"/>
      <w:lang w:val="fr-FR"/>
    </w:rPr>
  </w:style>
  <w:style w:type="character" w:customStyle="1" w:styleId="Titre2Car">
    <w:name w:val="Titre 2 Car"/>
    <w:basedOn w:val="Policepardfaut"/>
    <w:link w:val="Titre2"/>
    <w:rsid w:val="00755F03"/>
    <w:rPr>
      <w:rFonts w:ascii="Arial" w:hAnsi="Arial" w:cs="Arial"/>
      <w:b/>
      <w:bCs/>
      <w:iCs/>
      <w:lang w:val="fr-FR"/>
    </w:rPr>
  </w:style>
  <w:style w:type="paragraph" w:customStyle="1" w:styleId="Puceflche">
    <w:name w:val="Puce flèche"/>
    <w:basedOn w:val="Normal"/>
    <w:rsid w:val="00755F03"/>
    <w:pPr>
      <w:numPr>
        <w:ilvl w:val="2"/>
        <w:numId w:val="11"/>
      </w:numPr>
    </w:pPr>
  </w:style>
  <w:style w:type="paragraph" w:customStyle="1" w:styleId="Puceronde">
    <w:name w:val="Puce ronde"/>
    <w:basedOn w:val="Normal"/>
    <w:rsid w:val="00755F03"/>
    <w:pPr>
      <w:numPr>
        <w:ilvl w:val="1"/>
        <w:numId w:val="11"/>
      </w:numPr>
    </w:pPr>
  </w:style>
  <w:style w:type="paragraph" w:customStyle="1" w:styleId="Pucetiret">
    <w:name w:val="Puce tiret"/>
    <w:basedOn w:val="Puceronde"/>
    <w:rsid w:val="00755F03"/>
    <w:pPr>
      <w:numPr>
        <w:ilvl w:val="0"/>
      </w:numPr>
    </w:pPr>
  </w:style>
  <w:style w:type="character" w:styleId="Mentionnonrsolue">
    <w:name w:val="Unresolved Mention"/>
    <w:basedOn w:val="Policepardfaut"/>
    <w:uiPriority w:val="99"/>
    <w:semiHidden/>
    <w:unhideWhenUsed/>
    <w:rsid w:val="00FD7950"/>
    <w:rPr>
      <w:color w:val="605E5C"/>
      <w:shd w:val="clear" w:color="auto" w:fill="E1DFDD"/>
    </w:rPr>
  </w:style>
  <w:style w:type="paragraph" w:styleId="Paragraphedeliste">
    <w:name w:val="List Paragraph"/>
    <w:basedOn w:val="Normal"/>
    <w:uiPriority w:val="34"/>
    <w:rsid w:val="00687DBF"/>
    <w:pPr>
      <w:ind w:left="720"/>
      <w:contextualSpacing/>
    </w:pPr>
  </w:style>
  <w:style w:type="table" w:styleId="Grilledutableau">
    <w:name w:val="Table Grid"/>
    <w:basedOn w:val="TableauNormal"/>
    <w:rsid w:val="00687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
    <w:name w:val="Nom"/>
    <w:basedOn w:val="Normal"/>
    <w:next w:val="Normal"/>
    <w:link w:val="NomCar"/>
    <w:qFormat/>
    <w:rsid w:val="00D85D3A"/>
    <w:pPr>
      <w:keepNext/>
      <w:spacing w:before="240" w:after="120" w:line="240" w:lineRule="auto"/>
      <w:ind w:firstLine="357"/>
    </w:pPr>
    <w:rPr>
      <w:rFonts w:eastAsiaTheme="minorEastAsia" w:cstheme="minorBidi"/>
      <w:b/>
      <w:sz w:val="21"/>
      <w:szCs w:val="21"/>
      <w:lang w:eastAsia="fr-FR"/>
    </w:rPr>
  </w:style>
  <w:style w:type="character" w:customStyle="1" w:styleId="NomCar">
    <w:name w:val="Nom Car"/>
    <w:link w:val="Nom"/>
    <w:rsid w:val="00D85D3A"/>
    <w:rPr>
      <w:rFonts w:ascii="Arial" w:eastAsiaTheme="minorEastAsia" w:hAnsi="Arial" w:cstheme="minorBidi"/>
      <w:b/>
      <w:sz w:val="21"/>
      <w:szCs w:val="21"/>
      <w:lang w:val="fr-FR" w:eastAsia="fr-FR"/>
    </w:rPr>
  </w:style>
  <w:style w:type="character" w:styleId="Lienhypertextesuivivisit">
    <w:name w:val="FollowedHyperlink"/>
    <w:basedOn w:val="Policepardfaut"/>
    <w:rsid w:val="00301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98416">
      <w:bodyDiv w:val="1"/>
      <w:marLeft w:val="0"/>
      <w:marRight w:val="0"/>
      <w:marTop w:val="0"/>
      <w:marBottom w:val="0"/>
      <w:divBdr>
        <w:top w:val="none" w:sz="0" w:space="0" w:color="auto"/>
        <w:left w:val="none" w:sz="0" w:space="0" w:color="auto"/>
        <w:bottom w:val="none" w:sz="0" w:space="0" w:color="auto"/>
        <w:right w:val="none" w:sz="0" w:space="0" w:color="auto"/>
      </w:divBdr>
    </w:div>
    <w:div w:id="921598577">
      <w:bodyDiv w:val="1"/>
      <w:marLeft w:val="0"/>
      <w:marRight w:val="0"/>
      <w:marTop w:val="0"/>
      <w:marBottom w:val="0"/>
      <w:divBdr>
        <w:top w:val="none" w:sz="0" w:space="0" w:color="auto"/>
        <w:left w:val="none" w:sz="0" w:space="0" w:color="auto"/>
        <w:bottom w:val="none" w:sz="0" w:space="0" w:color="auto"/>
        <w:right w:val="none" w:sz="0" w:space="0" w:color="auto"/>
      </w:divBdr>
    </w:div>
    <w:div w:id="1933120086">
      <w:bodyDiv w:val="1"/>
      <w:marLeft w:val="0"/>
      <w:marRight w:val="0"/>
      <w:marTop w:val="0"/>
      <w:marBottom w:val="0"/>
      <w:divBdr>
        <w:top w:val="none" w:sz="0" w:space="0" w:color="auto"/>
        <w:left w:val="none" w:sz="0" w:space="0" w:color="auto"/>
        <w:bottom w:val="none" w:sz="0" w:space="0" w:color="auto"/>
        <w:right w:val="none" w:sz="0" w:space="0" w:color="auto"/>
      </w:divBdr>
    </w:div>
    <w:div w:id="2040667250">
      <w:bodyDiv w:val="1"/>
      <w:marLeft w:val="0"/>
      <w:marRight w:val="0"/>
      <w:marTop w:val="0"/>
      <w:marBottom w:val="0"/>
      <w:divBdr>
        <w:top w:val="none" w:sz="0" w:space="0" w:color="auto"/>
        <w:left w:val="none" w:sz="0" w:space="0" w:color="auto"/>
        <w:bottom w:val="none" w:sz="0" w:space="0" w:color="auto"/>
        <w:right w:val="none" w:sz="0" w:space="0" w:color="auto"/>
      </w:divBdr>
    </w:div>
    <w:div w:id="20549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2rlamondiale.fr/culture-branches/mise-en-place-d-un-accord/epargne-salariale" TargetMode="External"/><Relationship Id="rId5" Type="http://schemas.openxmlformats.org/officeDocument/2006/relationships/styles" Target="styles.xml"/><Relationship Id="rId15" Type="http://schemas.openxmlformats.org/officeDocument/2006/relationships/hyperlink" Target="https://www.ag2rlamondiale.fr/culture-branches/concept-et-evenements/retrouvez-tous-nos-evenements-pour-les-negociateurs-de-branche/conseil-retraite-loi-pacte-ce-qui-change-pour-les-branches-professionnelles" TargetMode="Externa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rvice-public.fr/particuliers/vosdroits/F349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pictureContentControl","id":"09dc9a3f-d064-4ba3-afb1-abf48772f6b8","elementConfiguration":{"inheritDimensions":"inheritNone","width":"{{Form.Colour.LogoWidth}}","height":"","binding":"Form.Colour.LogoName","removeAndKeepContent":false,"disableUpdates":false,"type":"image"}},{"type":"pictureContentControl","id":"89d3dac6-767e-434a-963d-10c0123a61e3","elementConfiguration":{"inheritDimensions":"inheritNone","width":"{{Form.Colour.LogoWidthSecondPage}}","height":"","binding":"Form.Colour.LogoNameSecond","removeAndKeepContent":false,"disableUpdates":false,"type":"image"}}],"transformationConfigurations":[{"language":"{{DocumentLanguage}}","disableUpdates":false,"type":"proofingLanguage"},{"orientation":"{{Form.Orientation.Orientation}}","originalValues":{"topMargin":2262,"rightMargin":1179,"bottomMargin":2393,"leftMargin":1525,"gutter":0,"gutterPosition":"left","orientation":"portrait","paperWidth":11906,"paperHeight":16838,"headerFromEdge":641,"footerFromEdge":851},"disableUpdates":false,"type":"pageSetup"}],"isBaseTemplate":false,"templateName":"Format simple","templateDescription":"","enableDocumentContentUpdater":true,"version":"1.1"}]]></TemplafyTemplateConfiguration>
</file>

<file path=customXml/item2.xml><?xml version="1.0" encoding="utf-8"?>
<TemplafyFormConfiguration><![CDATA[{"formFields":[{"dataSource":"Base Logo","displayColumn":"name","hideIfNoUserInteractionRequired":false,"distinct":true,"required":true,"autoSelectFirstOption":false,"helpTexts":{"prefix":"","postfix":""},"spacing":{},"type":"dropDown","name":"Entity","label":"Entité","fullyQualifiedName":"Entity"},{"dataSource":"Base Logo","displayColumn":"colour","filter":{"column":"name","otherFieldName":"Entity","fullyQualifiedOtherFieldName":"Entity","otherFieldColumn":"Name","formReference":"none","operator":"equals"},"hideIfNoUserInteractionRequired":false,"distinct":true,"required":true,"autoSelectFirstOption":false,"helpTexts":{"prefix":"","postfix":""},"spacing":{},"type":"dropDown","name":"Colour","label":"Type d'impression","fullyQualifiedName":"Colour"},{"dataSource":"Orientation","displayColumn":"label","hideIfNoUserInteractionRequired":false,"distinct":true,"required":true,"autoSelectFirstOption":false,"helpTexts":{"prefix":"","postfix":""},"spacing":{},"type":"dropDown","name":"Orientation","label":"Orientation","fullyQualifiedName":"Orientation"}],"formDataEntries":[{"name":"Entity","value":"BgToBDr9VrQ2c/Z6nzYo4Q=="},{"name":"Colour","value":"tnUlZZDUufVZcgo2aFxGmw=="},{"name":"Orientation","value":"BgToBDr9VrQ2c/Z6nzYo4Q=="}]}]]></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3EAA9-52F3-4D33-ADB0-E0486939A52D}">
  <ds:schemaRefs/>
</ds:datastoreItem>
</file>

<file path=customXml/itemProps2.xml><?xml version="1.0" encoding="utf-8"?>
<ds:datastoreItem xmlns:ds="http://schemas.openxmlformats.org/officeDocument/2006/customXml" ds:itemID="{D624E1E0-672F-4713-94A9-E4FF237959DB}">
  <ds:schemaRefs/>
</ds:datastoreItem>
</file>

<file path=customXml/itemProps3.xml><?xml version="1.0" encoding="utf-8"?>
<ds:datastoreItem xmlns:ds="http://schemas.openxmlformats.org/officeDocument/2006/customXml" ds:itemID="{9EB1BFE5-78E3-4362-A224-8B5C5D45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4</Pages>
  <Words>992</Words>
  <Characters>5976</Characters>
  <Application>Microsoft Office Word</Application>
  <DocSecurity>0</DocSecurity>
  <Lines>49</Lines>
  <Paragraphs>13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Format paysage</vt:lpstr>
    </vt:vector>
  </TitlesOfParts>
  <Company>AG2R LA MONDIALE</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JAJOUTE-SINAPAN Bryan</dc:creator>
  <cp:keywords/>
  <cp:lastModifiedBy>UNGER Celine</cp:lastModifiedBy>
  <cp:revision>21</cp:revision>
  <cp:lastPrinted>2009-10-20T13:20:00Z</cp:lastPrinted>
  <dcterms:created xsi:type="dcterms:W3CDTF">2021-03-15T13:34:00Z</dcterms:created>
  <dcterms:modified xsi:type="dcterms:W3CDTF">2021-04-13T15:17:00Z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ag2r</vt:lpwstr>
  </property>
  <property fmtid="{D5CDD505-2E9C-101B-9397-08002B2CF9AE}" pid="3" name="TemplafyTemplateId">
    <vt:lpwstr>636739966745561201</vt:lpwstr>
  </property>
  <property fmtid="{D5CDD505-2E9C-101B-9397-08002B2CF9AE}" pid="4" name="TemplafyUserProfileId">
    <vt:lpwstr>636794247823640368</vt:lpwstr>
  </property>
  <property fmtid="{D5CDD505-2E9C-101B-9397-08002B2CF9AE}" pid="5" name="TemplafyLanguageCode">
    <vt:lpwstr>fr-FR</vt:lpwstr>
  </property>
</Properties>
</file>