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49D8" w14:textId="77777777" w:rsidR="00150E10" w:rsidRPr="00150E10" w:rsidRDefault="003D2C17" w:rsidP="00150E10">
      <w:pPr>
        <w:pStyle w:val="Default"/>
        <w:jc w:val="right"/>
        <w:rPr>
          <w:b/>
          <w:bCs/>
          <w:color w:val="FFFFFF" w:themeColor="background1"/>
          <w:sz w:val="28"/>
          <w:szCs w:val="28"/>
        </w:rPr>
      </w:pPr>
      <w:r>
        <w:rPr>
          <w:b/>
          <w:bCs/>
          <w:color w:val="FFFFFF" w:themeColor="background1"/>
        </w:rPr>
        <w:t>Service juridique</w:t>
      </w:r>
    </w:p>
    <w:p w14:paraId="2F4AB5D1" w14:textId="26A1C5E2" w:rsidR="00150E10" w:rsidRDefault="00150E10" w:rsidP="00150E10">
      <w:pPr>
        <w:pStyle w:val="Default"/>
        <w:jc w:val="right"/>
        <w:rPr>
          <w:sz w:val="23"/>
          <w:szCs w:val="23"/>
        </w:rPr>
      </w:pPr>
      <w:r>
        <w:rPr>
          <w:b/>
          <w:bCs/>
          <w:sz w:val="23"/>
          <w:szCs w:val="23"/>
        </w:rPr>
        <w:t>Numéro de la circulaire</w:t>
      </w:r>
      <w:r w:rsidR="005F52C4">
        <w:rPr>
          <w:b/>
          <w:bCs/>
          <w:sz w:val="23"/>
          <w:szCs w:val="23"/>
        </w:rPr>
        <w:t xml:space="preserve"> : </w:t>
      </w:r>
      <w:r w:rsidR="005F52C4" w:rsidRPr="005F52C4">
        <w:rPr>
          <w:b/>
          <w:bCs/>
          <w:sz w:val="23"/>
          <w:szCs w:val="23"/>
        </w:rPr>
        <w:t>Circ. N°</w:t>
      </w:r>
      <w:r w:rsidR="005C68AF">
        <w:rPr>
          <w:b/>
          <w:bCs/>
          <w:sz w:val="23"/>
          <w:szCs w:val="23"/>
        </w:rPr>
        <w:t>4</w:t>
      </w:r>
      <w:r w:rsidR="00894F7D">
        <w:rPr>
          <w:b/>
          <w:bCs/>
          <w:sz w:val="23"/>
          <w:szCs w:val="23"/>
        </w:rPr>
        <w:t>3</w:t>
      </w:r>
      <w:r w:rsidR="005F52C4" w:rsidRPr="005F52C4">
        <w:rPr>
          <w:b/>
          <w:bCs/>
          <w:sz w:val="23"/>
          <w:szCs w:val="23"/>
        </w:rPr>
        <w:t>-202</w:t>
      </w:r>
      <w:r w:rsidR="005C68AF">
        <w:rPr>
          <w:b/>
          <w:bCs/>
          <w:sz w:val="23"/>
          <w:szCs w:val="23"/>
        </w:rPr>
        <w:t>1</w:t>
      </w:r>
    </w:p>
    <w:p w14:paraId="602DDE4D" w14:textId="28DF1631" w:rsidR="00150E10" w:rsidRDefault="00150E10" w:rsidP="00150E10">
      <w:pPr>
        <w:pStyle w:val="Default"/>
        <w:jc w:val="right"/>
        <w:rPr>
          <w:sz w:val="22"/>
          <w:szCs w:val="22"/>
        </w:rPr>
      </w:pPr>
      <w:r>
        <w:rPr>
          <w:b/>
          <w:bCs/>
          <w:sz w:val="22"/>
          <w:szCs w:val="22"/>
        </w:rPr>
        <w:t>Référence : </w:t>
      </w:r>
      <w:r w:rsidR="00662A4F" w:rsidRPr="00662A4F">
        <w:rPr>
          <w:b/>
          <w:bCs/>
          <w:sz w:val="22"/>
          <w:szCs w:val="22"/>
        </w:rPr>
        <w:t>SJ/AB/</w:t>
      </w:r>
      <w:r w:rsidR="00CE68D7">
        <w:rPr>
          <w:b/>
          <w:bCs/>
          <w:sz w:val="22"/>
          <w:szCs w:val="22"/>
        </w:rPr>
        <w:t>CA</w:t>
      </w:r>
      <w:r w:rsidR="00662A4F" w:rsidRPr="00662A4F">
        <w:rPr>
          <w:b/>
          <w:bCs/>
          <w:sz w:val="22"/>
          <w:szCs w:val="22"/>
        </w:rPr>
        <w:t>-</w:t>
      </w:r>
      <w:r w:rsidR="005C68AF">
        <w:rPr>
          <w:b/>
          <w:bCs/>
          <w:sz w:val="22"/>
          <w:szCs w:val="22"/>
        </w:rPr>
        <w:t>2</w:t>
      </w:r>
      <w:r w:rsidR="00894F7D">
        <w:rPr>
          <w:b/>
          <w:bCs/>
          <w:sz w:val="22"/>
          <w:szCs w:val="22"/>
        </w:rPr>
        <w:t>9</w:t>
      </w:r>
      <w:r w:rsidR="00662A4F" w:rsidRPr="00662A4F">
        <w:rPr>
          <w:b/>
          <w:bCs/>
          <w:sz w:val="22"/>
          <w:szCs w:val="22"/>
        </w:rPr>
        <w:t>.0</w:t>
      </w:r>
      <w:r w:rsidR="009B61DC">
        <w:rPr>
          <w:b/>
          <w:bCs/>
          <w:sz w:val="22"/>
          <w:szCs w:val="22"/>
        </w:rPr>
        <w:t>3</w:t>
      </w:r>
      <w:r w:rsidR="00662A4F" w:rsidRPr="00662A4F">
        <w:rPr>
          <w:b/>
          <w:bCs/>
          <w:sz w:val="22"/>
          <w:szCs w:val="22"/>
        </w:rPr>
        <w:t>.2</w:t>
      </w:r>
      <w:r w:rsidR="005C68AF">
        <w:rPr>
          <w:b/>
          <w:bCs/>
          <w:sz w:val="22"/>
          <w:szCs w:val="22"/>
        </w:rPr>
        <w:t>1</w:t>
      </w:r>
    </w:p>
    <w:p w14:paraId="5AB625D5" w14:textId="77777777" w:rsidR="00AC29F7" w:rsidRDefault="00AC29F7"/>
    <w:p w14:paraId="18D651DF" w14:textId="77777777" w:rsidR="00AC29F7" w:rsidRDefault="00AC29F7"/>
    <w:p w14:paraId="710F844B" w14:textId="77777777" w:rsidR="00AC29F7" w:rsidRDefault="00AC29F7"/>
    <w:p w14:paraId="7B53187E" w14:textId="77777777" w:rsidR="00AC29F7" w:rsidRDefault="00AC29F7"/>
    <w:p w14:paraId="3DDFA5AA" w14:textId="012A51E2" w:rsidR="00BA7AED" w:rsidRDefault="00150E10" w:rsidP="00F24568">
      <w:pPr>
        <w:pBdr>
          <w:left w:val="single" w:sz="18" w:space="4" w:color="F62024"/>
        </w:pBdr>
      </w:pPr>
      <w:r w:rsidRPr="007E44BD">
        <w:rPr>
          <w:b/>
          <w:bCs/>
        </w:rPr>
        <w:t>Destinataires</w:t>
      </w:r>
      <w:r w:rsidR="007E44BD">
        <w:t xml:space="preserve"> : </w:t>
      </w:r>
    </w:p>
    <w:p w14:paraId="52DBF46B" w14:textId="77777777" w:rsidR="007E44BD" w:rsidRDefault="007E44BD" w:rsidP="007E44BD">
      <w:pPr>
        <w:pBdr>
          <w:left w:val="single" w:sz="18" w:space="4" w:color="F62024"/>
        </w:pBdr>
      </w:pPr>
      <w:r>
        <w:t xml:space="preserve">Secrétaires Fédéraux </w:t>
      </w:r>
    </w:p>
    <w:p w14:paraId="5B3C7FE4" w14:textId="77777777" w:rsidR="007E44BD" w:rsidRDefault="007E44BD" w:rsidP="007E44BD">
      <w:pPr>
        <w:pBdr>
          <w:left w:val="single" w:sz="18" w:space="4" w:color="F62024"/>
        </w:pBdr>
      </w:pPr>
      <w:r>
        <w:t xml:space="preserve">Délégués syndicaux centraux </w:t>
      </w:r>
    </w:p>
    <w:p w14:paraId="4F940791" w14:textId="3B03318F" w:rsidR="007E44BD" w:rsidRDefault="007E44BD" w:rsidP="007E44BD">
      <w:pPr>
        <w:pBdr>
          <w:left w:val="single" w:sz="18" w:space="4" w:color="F62024"/>
        </w:pBdr>
      </w:pPr>
      <w:r>
        <w:t>Délégués syndicaux</w:t>
      </w:r>
    </w:p>
    <w:p w14:paraId="4DABD701" w14:textId="77777777" w:rsidR="00BA7AED" w:rsidRPr="002D1BA5" w:rsidRDefault="00BA7AED" w:rsidP="002D1BA5"/>
    <w:p w14:paraId="546427A4" w14:textId="38CB2290" w:rsidR="00E31B2B" w:rsidRDefault="00E31B2B" w:rsidP="00150E10">
      <w:pPr>
        <w:jc w:val="right"/>
      </w:pPr>
      <w:r>
        <w:rPr>
          <w:sz w:val="22"/>
          <w:szCs w:val="22"/>
        </w:rPr>
        <w:t xml:space="preserve">Vanves, le </w:t>
      </w:r>
      <w:r w:rsidR="005C68AF">
        <w:rPr>
          <w:sz w:val="22"/>
          <w:szCs w:val="22"/>
        </w:rPr>
        <w:t>2</w:t>
      </w:r>
      <w:r w:rsidR="006846F8">
        <w:rPr>
          <w:sz w:val="22"/>
          <w:szCs w:val="22"/>
        </w:rPr>
        <w:t>9</w:t>
      </w:r>
      <w:r w:rsidR="00C351F8">
        <w:rPr>
          <w:sz w:val="22"/>
          <w:szCs w:val="22"/>
        </w:rPr>
        <w:t>/</w:t>
      </w:r>
      <w:r w:rsidR="00305BFE">
        <w:rPr>
          <w:sz w:val="22"/>
          <w:szCs w:val="22"/>
        </w:rPr>
        <w:t>0</w:t>
      </w:r>
      <w:r w:rsidR="009B61DC">
        <w:rPr>
          <w:sz w:val="22"/>
          <w:szCs w:val="22"/>
        </w:rPr>
        <w:t>3</w:t>
      </w:r>
      <w:r w:rsidR="00C351F8">
        <w:rPr>
          <w:sz w:val="22"/>
          <w:szCs w:val="22"/>
        </w:rPr>
        <w:t>/202</w:t>
      </w:r>
      <w:r w:rsidR="005C68AF">
        <w:rPr>
          <w:sz w:val="22"/>
          <w:szCs w:val="22"/>
        </w:rPr>
        <w:t>1</w:t>
      </w:r>
    </w:p>
    <w:p w14:paraId="21519619" w14:textId="77777777" w:rsidR="00E31B2B" w:rsidRDefault="00E31B2B"/>
    <w:p w14:paraId="51F7F68D" w14:textId="77777777" w:rsidR="00E31B2B" w:rsidRDefault="00E31B2B"/>
    <w:p w14:paraId="30BA6547" w14:textId="24A28B60" w:rsidR="00E31B2B" w:rsidRPr="00311477" w:rsidRDefault="0035124F" w:rsidP="00C96E56">
      <w:pPr>
        <w:pBdr>
          <w:top w:val="single" w:sz="8" w:space="1" w:color="auto"/>
          <w:bottom w:val="single" w:sz="8" w:space="1" w:color="auto"/>
        </w:pBdr>
        <w:jc w:val="center"/>
        <w:rPr>
          <w:b/>
          <w:bCs/>
          <w:color w:val="C00000"/>
          <w:sz w:val="32"/>
          <w:szCs w:val="32"/>
        </w:rPr>
      </w:pPr>
      <w:r w:rsidRPr="00311477">
        <w:rPr>
          <w:b/>
          <w:bCs/>
          <w:color w:val="C00000"/>
          <w:sz w:val="32"/>
          <w:szCs w:val="32"/>
        </w:rPr>
        <w:t xml:space="preserve">Propos injurieux, homophobes tenus </w:t>
      </w:r>
      <w:r w:rsidR="00511417" w:rsidRPr="00311477">
        <w:rPr>
          <w:b/>
          <w:bCs/>
          <w:color w:val="C00000"/>
          <w:sz w:val="32"/>
          <w:szCs w:val="32"/>
        </w:rPr>
        <w:t xml:space="preserve">par des clients </w:t>
      </w:r>
      <w:r w:rsidRPr="00311477">
        <w:rPr>
          <w:b/>
          <w:bCs/>
          <w:color w:val="C00000"/>
          <w:sz w:val="32"/>
          <w:szCs w:val="32"/>
        </w:rPr>
        <w:t xml:space="preserve">envers des salariés </w:t>
      </w:r>
    </w:p>
    <w:p w14:paraId="2100306A" w14:textId="4CBACEA7" w:rsidR="00B020E3" w:rsidRDefault="00B020E3" w:rsidP="007A1232"/>
    <w:p w14:paraId="7E9A87B1" w14:textId="3F9932BB" w:rsidR="006846F8" w:rsidRPr="00CD62E0" w:rsidRDefault="00311477" w:rsidP="00311477">
      <w:pPr>
        <w:jc w:val="both"/>
        <w:rPr>
          <w:b/>
          <w:bCs/>
          <w:color w:val="C00000"/>
        </w:rPr>
      </w:pPr>
      <w:r w:rsidRPr="00CD62E0">
        <w:rPr>
          <w:b/>
          <w:bCs/>
          <w:color w:val="C00000"/>
        </w:rPr>
        <w:t>C</w:t>
      </w:r>
      <w:r w:rsidR="006846F8" w:rsidRPr="00CD62E0">
        <w:rPr>
          <w:b/>
          <w:bCs/>
          <w:color w:val="C00000"/>
        </w:rPr>
        <w:t xml:space="preserve">adre pénal </w:t>
      </w:r>
    </w:p>
    <w:p w14:paraId="112556B6" w14:textId="77777777" w:rsidR="00E46082" w:rsidRDefault="00E46082" w:rsidP="006A1C3D">
      <w:pPr>
        <w:jc w:val="both"/>
      </w:pPr>
    </w:p>
    <w:tbl>
      <w:tblPr>
        <w:tblStyle w:val="Grilledutableau"/>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9056"/>
      </w:tblGrid>
      <w:tr w:rsidR="00900D4F" w:rsidRPr="00CD62E0" w14:paraId="27CD6186" w14:textId="77777777" w:rsidTr="00900D4F">
        <w:tc>
          <w:tcPr>
            <w:tcW w:w="9056" w:type="dxa"/>
          </w:tcPr>
          <w:p w14:paraId="3BCB0479" w14:textId="77777777" w:rsidR="00900D4F" w:rsidRPr="00CD62E0" w:rsidRDefault="00900D4F" w:rsidP="00900D4F">
            <w:pPr>
              <w:jc w:val="both"/>
              <w:rPr>
                <w:b/>
                <w:bCs/>
                <w:sz w:val="22"/>
                <w:szCs w:val="22"/>
              </w:rPr>
            </w:pPr>
            <w:r w:rsidRPr="00CD62E0">
              <w:rPr>
                <w:b/>
                <w:bCs/>
                <w:sz w:val="22"/>
                <w:szCs w:val="22"/>
              </w:rPr>
              <w:t>La loi interdit et sanctionne le racisme lorsqu'il s'exprime sous forme :</w:t>
            </w:r>
          </w:p>
          <w:p w14:paraId="7677683A" w14:textId="4EC46835" w:rsidR="00900D4F" w:rsidRPr="00CD62E0" w:rsidRDefault="00900D4F" w:rsidP="00311477">
            <w:pPr>
              <w:pStyle w:val="Paragraphedeliste"/>
              <w:numPr>
                <w:ilvl w:val="0"/>
                <w:numId w:val="21"/>
              </w:numPr>
              <w:jc w:val="both"/>
              <w:rPr>
                <w:b/>
                <w:bCs/>
                <w:sz w:val="22"/>
                <w:szCs w:val="22"/>
              </w:rPr>
            </w:pPr>
            <w:proofErr w:type="gramStart"/>
            <w:r w:rsidRPr="00CD62E0">
              <w:rPr>
                <w:b/>
                <w:bCs/>
                <w:sz w:val="22"/>
                <w:szCs w:val="22"/>
              </w:rPr>
              <w:t>de</w:t>
            </w:r>
            <w:proofErr w:type="gramEnd"/>
            <w:r w:rsidRPr="00CD62E0">
              <w:rPr>
                <w:b/>
                <w:bCs/>
                <w:sz w:val="22"/>
                <w:szCs w:val="22"/>
              </w:rPr>
              <w:t xml:space="preserve"> propos injurieux ;</w:t>
            </w:r>
          </w:p>
          <w:p w14:paraId="5DE663D7" w14:textId="405D37D5" w:rsidR="00900D4F" w:rsidRPr="00CD62E0" w:rsidRDefault="00900D4F" w:rsidP="00311477">
            <w:pPr>
              <w:pStyle w:val="Paragraphedeliste"/>
              <w:numPr>
                <w:ilvl w:val="0"/>
                <w:numId w:val="21"/>
              </w:numPr>
              <w:jc w:val="both"/>
              <w:rPr>
                <w:b/>
                <w:bCs/>
                <w:sz w:val="22"/>
                <w:szCs w:val="22"/>
              </w:rPr>
            </w:pPr>
            <w:proofErr w:type="gramStart"/>
            <w:r w:rsidRPr="00CD62E0">
              <w:rPr>
                <w:b/>
                <w:bCs/>
                <w:sz w:val="22"/>
                <w:szCs w:val="22"/>
              </w:rPr>
              <w:t>de</w:t>
            </w:r>
            <w:proofErr w:type="gramEnd"/>
            <w:r w:rsidRPr="00CD62E0">
              <w:rPr>
                <w:b/>
                <w:bCs/>
                <w:sz w:val="22"/>
                <w:szCs w:val="22"/>
              </w:rPr>
              <w:t xml:space="preserve"> comportements discriminatoires (traitement défavorable de personnes, se trouvant dans une situation comparable, dans le domaine de l'emploi, de l'éducation, d'accès à la location...) ;</w:t>
            </w:r>
          </w:p>
          <w:p w14:paraId="0ABA4A9F" w14:textId="3FE64287" w:rsidR="00900D4F" w:rsidRPr="00CD62E0" w:rsidRDefault="00900D4F" w:rsidP="00311477">
            <w:pPr>
              <w:pStyle w:val="Paragraphedeliste"/>
              <w:numPr>
                <w:ilvl w:val="0"/>
                <w:numId w:val="21"/>
              </w:numPr>
              <w:jc w:val="both"/>
              <w:rPr>
                <w:sz w:val="22"/>
                <w:szCs w:val="22"/>
              </w:rPr>
            </w:pPr>
            <w:proofErr w:type="gramStart"/>
            <w:r w:rsidRPr="00CD62E0">
              <w:rPr>
                <w:b/>
                <w:bCs/>
                <w:sz w:val="22"/>
                <w:szCs w:val="22"/>
              </w:rPr>
              <w:t>de</w:t>
            </w:r>
            <w:proofErr w:type="gramEnd"/>
            <w:r w:rsidRPr="00CD62E0">
              <w:rPr>
                <w:b/>
                <w:bCs/>
                <w:sz w:val="22"/>
                <w:szCs w:val="22"/>
              </w:rPr>
              <w:t xml:space="preserve"> violences physiques.</w:t>
            </w:r>
          </w:p>
        </w:tc>
      </w:tr>
    </w:tbl>
    <w:p w14:paraId="194D117F" w14:textId="77777777" w:rsidR="00EF3942" w:rsidRPr="00CD62E0" w:rsidRDefault="00EF3942" w:rsidP="006A1C3D">
      <w:pPr>
        <w:jc w:val="both"/>
        <w:rPr>
          <w:sz w:val="22"/>
          <w:szCs w:val="22"/>
        </w:rPr>
      </w:pPr>
    </w:p>
    <w:p w14:paraId="7CFCFEBB" w14:textId="626C55CC" w:rsidR="00EF3942" w:rsidRPr="00CD62E0" w:rsidRDefault="00EF3942" w:rsidP="00EF3942">
      <w:pPr>
        <w:jc w:val="both"/>
        <w:rPr>
          <w:sz w:val="22"/>
          <w:szCs w:val="22"/>
        </w:rPr>
      </w:pPr>
      <w:r w:rsidRPr="00CD62E0">
        <w:rPr>
          <w:sz w:val="22"/>
          <w:szCs w:val="22"/>
        </w:rPr>
        <w:t xml:space="preserve">L’injure peut s’agir d’une </w:t>
      </w:r>
      <w:r w:rsidR="00311477" w:rsidRPr="00CD62E0">
        <w:rPr>
          <w:sz w:val="22"/>
          <w:szCs w:val="22"/>
        </w:rPr>
        <w:t>insulte</w:t>
      </w:r>
      <w:r w:rsidRPr="00CD62E0">
        <w:rPr>
          <w:sz w:val="22"/>
          <w:szCs w:val="22"/>
        </w:rPr>
        <w:t>, qui se caractérise par la grossièreté ou la violence des termes utilisés. L’injure peut être un terme de mépris, qui a pour effet de rabaisser celui à qui il s’adresse et de porter atteinte à sa dignité.</w:t>
      </w:r>
    </w:p>
    <w:p w14:paraId="10C54505" w14:textId="77777777" w:rsidR="00EF3942" w:rsidRPr="00CD62E0" w:rsidRDefault="00EF3942" w:rsidP="00EF3942">
      <w:pPr>
        <w:jc w:val="both"/>
        <w:rPr>
          <w:sz w:val="22"/>
          <w:szCs w:val="22"/>
        </w:rPr>
      </w:pPr>
    </w:p>
    <w:p w14:paraId="67C9C49C" w14:textId="3D5736F1" w:rsidR="00E46082" w:rsidRPr="00CD62E0" w:rsidRDefault="00311477" w:rsidP="00EF3942">
      <w:pPr>
        <w:jc w:val="both"/>
        <w:rPr>
          <w:i/>
          <w:iCs/>
          <w:sz w:val="22"/>
          <w:szCs w:val="22"/>
        </w:rPr>
      </w:pPr>
      <w:r w:rsidRPr="00CD62E0">
        <w:rPr>
          <w:i/>
          <w:iCs/>
          <w:sz w:val="22"/>
          <w:szCs w:val="22"/>
        </w:rPr>
        <w:t>E</w:t>
      </w:r>
      <w:r w:rsidR="00EF3942" w:rsidRPr="00CD62E0">
        <w:rPr>
          <w:i/>
          <w:iCs/>
          <w:sz w:val="22"/>
          <w:szCs w:val="22"/>
        </w:rPr>
        <w:t>xemple, constituent des termes injurieux les termes « tristes cons » ou encore le terme « buse » (CA Paris, 13 décembre 1988)</w:t>
      </w:r>
      <w:r w:rsidR="00EE1403" w:rsidRPr="00CD62E0">
        <w:rPr>
          <w:i/>
          <w:iCs/>
          <w:sz w:val="22"/>
          <w:szCs w:val="22"/>
        </w:rPr>
        <w:t xml:space="preserve"> </w:t>
      </w:r>
      <w:r w:rsidR="00EF3942" w:rsidRPr="00CD62E0">
        <w:rPr>
          <w:i/>
          <w:iCs/>
          <w:sz w:val="22"/>
          <w:szCs w:val="22"/>
        </w:rPr>
        <w:t>et de « nullard »</w:t>
      </w:r>
      <w:r w:rsidR="00EE1403" w:rsidRPr="00CD62E0">
        <w:rPr>
          <w:i/>
          <w:iCs/>
          <w:sz w:val="22"/>
          <w:szCs w:val="22"/>
        </w:rPr>
        <w:t xml:space="preserve"> (Crim., 23 janvier 2018, n°17-82.660)</w:t>
      </w:r>
      <w:r w:rsidR="00EF3942" w:rsidRPr="00CD62E0">
        <w:rPr>
          <w:i/>
          <w:iCs/>
          <w:sz w:val="22"/>
          <w:szCs w:val="22"/>
        </w:rPr>
        <w:t>.</w:t>
      </w:r>
    </w:p>
    <w:p w14:paraId="087CF853" w14:textId="77777777" w:rsidR="00E46082" w:rsidRPr="00CD62E0" w:rsidRDefault="00E46082" w:rsidP="006A1C3D">
      <w:pPr>
        <w:jc w:val="both"/>
        <w:rPr>
          <w:sz w:val="22"/>
          <w:szCs w:val="22"/>
        </w:rPr>
      </w:pPr>
    </w:p>
    <w:p w14:paraId="07DCBA3E" w14:textId="29FE11F8" w:rsidR="00EE1403" w:rsidRPr="00CD62E0" w:rsidRDefault="00EE1403" w:rsidP="00900D4F">
      <w:pPr>
        <w:pBdr>
          <w:top w:val="single" w:sz="4" w:space="1" w:color="C00000"/>
          <w:left w:val="single" w:sz="4" w:space="4" w:color="C00000"/>
          <w:bottom w:val="single" w:sz="4" w:space="1" w:color="C00000"/>
          <w:right w:val="single" w:sz="4" w:space="4" w:color="C00000"/>
        </w:pBdr>
        <w:jc w:val="both"/>
        <w:rPr>
          <w:b/>
          <w:bCs/>
          <w:sz w:val="22"/>
          <w:szCs w:val="22"/>
        </w:rPr>
      </w:pPr>
      <w:r w:rsidRPr="00CD62E0">
        <w:rPr>
          <w:b/>
          <w:bCs/>
          <w:sz w:val="22"/>
          <w:szCs w:val="22"/>
        </w:rPr>
        <w:t xml:space="preserve">L'injure </w:t>
      </w:r>
      <w:r w:rsidR="00B81C30" w:rsidRPr="00CD62E0">
        <w:rPr>
          <w:b/>
          <w:bCs/>
          <w:sz w:val="22"/>
          <w:szCs w:val="22"/>
        </w:rPr>
        <w:t>est publique quand elle peut être entendue ou lue par le public dans la rue par exemple, dans un magasin. Dans ce cas, il s’agit d’un délit puni d’une peine d’amende, peine pouvant être aggravée dans certains cas.</w:t>
      </w:r>
    </w:p>
    <w:p w14:paraId="502FE46D" w14:textId="77777777" w:rsidR="00E73442" w:rsidRPr="00CD62E0" w:rsidRDefault="00E73442" w:rsidP="00E73442">
      <w:pPr>
        <w:jc w:val="both"/>
        <w:rPr>
          <w:sz w:val="22"/>
          <w:szCs w:val="22"/>
        </w:rPr>
      </w:pPr>
    </w:p>
    <w:p w14:paraId="5A7191A8" w14:textId="77777777" w:rsidR="00BF38BD" w:rsidRPr="00CD62E0" w:rsidRDefault="00BF38BD" w:rsidP="00BF38BD">
      <w:pPr>
        <w:jc w:val="both"/>
        <w:rPr>
          <w:sz w:val="22"/>
          <w:szCs w:val="22"/>
        </w:rPr>
      </w:pPr>
      <w:r w:rsidRPr="00CD62E0">
        <w:rPr>
          <w:sz w:val="22"/>
          <w:szCs w:val="22"/>
        </w:rPr>
        <w:t xml:space="preserve">La loi définit l’injure raciste comme « toute expression outrageante, terme de mépris ou invective adressé à une personne ou à un groupe à raison de leur origine ou de leur appartenance à une ethnie, une nation, une prétendue race ou une religion déterminée ».  </w:t>
      </w:r>
    </w:p>
    <w:p w14:paraId="51EDC268" w14:textId="77777777" w:rsidR="00BF38BD" w:rsidRPr="00CD62E0" w:rsidRDefault="00BF38BD" w:rsidP="00BF38BD">
      <w:pPr>
        <w:jc w:val="both"/>
        <w:rPr>
          <w:sz w:val="22"/>
          <w:szCs w:val="22"/>
        </w:rPr>
      </w:pPr>
    </w:p>
    <w:p w14:paraId="2947EA99" w14:textId="77777777" w:rsidR="00BF38BD" w:rsidRPr="00CD62E0" w:rsidRDefault="00BF38BD" w:rsidP="00BF38BD">
      <w:pPr>
        <w:jc w:val="both"/>
        <w:rPr>
          <w:sz w:val="22"/>
          <w:szCs w:val="22"/>
        </w:rPr>
      </w:pPr>
      <w:r w:rsidRPr="00CD62E0">
        <w:rPr>
          <w:sz w:val="22"/>
          <w:szCs w:val="22"/>
        </w:rPr>
        <w:t xml:space="preserve">L'homophobie est le fait de manifester de la haine envers une personne en raison de son orientation </w:t>
      </w:r>
      <w:proofErr w:type="gramStart"/>
      <w:r w:rsidRPr="00CD62E0">
        <w:rPr>
          <w:sz w:val="22"/>
          <w:szCs w:val="22"/>
        </w:rPr>
        <w:t>sexuelle</w:t>
      </w:r>
      <w:proofErr w:type="gramEnd"/>
      <w:r w:rsidRPr="00CD62E0">
        <w:rPr>
          <w:sz w:val="22"/>
          <w:szCs w:val="22"/>
        </w:rPr>
        <w:t xml:space="preserve"> réelle ou supposée. Cela peut se traduire par des propos ou des actes injurieux, violents ou discriminatoires.</w:t>
      </w:r>
    </w:p>
    <w:p w14:paraId="46FFA8C1" w14:textId="77777777" w:rsidR="00BF38BD" w:rsidRDefault="00BF38BD" w:rsidP="00BF38BD">
      <w:pPr>
        <w:jc w:val="both"/>
      </w:pPr>
    </w:p>
    <w:p w14:paraId="377ED14E" w14:textId="58F9BE4B" w:rsidR="00BF38BD" w:rsidRPr="00CD62E0" w:rsidRDefault="00BF38BD" w:rsidP="00BF38BD">
      <w:pPr>
        <w:jc w:val="both"/>
        <w:rPr>
          <w:sz w:val="22"/>
          <w:szCs w:val="22"/>
        </w:rPr>
      </w:pPr>
      <w:r w:rsidRPr="00CD62E0">
        <w:rPr>
          <w:sz w:val="22"/>
          <w:szCs w:val="22"/>
        </w:rPr>
        <w:t xml:space="preserve">Lorsqu’une injure raciste, sexiste, homophobe est publique, son auteur encourt jusqu'à 1 an de prison </w:t>
      </w:r>
      <w:proofErr w:type="gramStart"/>
      <w:r w:rsidRPr="00CD62E0">
        <w:rPr>
          <w:sz w:val="22"/>
          <w:szCs w:val="22"/>
        </w:rPr>
        <w:t>et  45.000</w:t>
      </w:r>
      <w:proofErr w:type="gramEnd"/>
      <w:r w:rsidRPr="00CD62E0">
        <w:rPr>
          <w:sz w:val="22"/>
          <w:szCs w:val="22"/>
        </w:rPr>
        <w:t xml:space="preserve"> € d'amende (articles 29 alinéa 2 et 33 alinéa 3 de la loi du 29 juillet 1881).  </w:t>
      </w:r>
    </w:p>
    <w:p w14:paraId="1330B507" w14:textId="77777777" w:rsidR="00E46082" w:rsidRPr="00CD62E0" w:rsidRDefault="00E46082" w:rsidP="006A1C3D">
      <w:pPr>
        <w:jc w:val="both"/>
        <w:rPr>
          <w:sz w:val="22"/>
          <w:szCs w:val="22"/>
        </w:rPr>
      </w:pPr>
    </w:p>
    <w:p w14:paraId="4F956E91" w14:textId="2583E990" w:rsidR="0035124F" w:rsidRPr="00CD62E0" w:rsidRDefault="0035124F" w:rsidP="006A1C3D">
      <w:pPr>
        <w:jc w:val="both"/>
        <w:rPr>
          <w:sz w:val="22"/>
          <w:szCs w:val="22"/>
        </w:rPr>
      </w:pPr>
      <w:r w:rsidRPr="00CD62E0">
        <w:rPr>
          <w:sz w:val="22"/>
          <w:szCs w:val="22"/>
        </w:rPr>
        <w:lastRenderedPageBreak/>
        <w:t xml:space="preserve">Comme pour tous citoyens victimes d’homophobie ou </w:t>
      </w:r>
      <w:r w:rsidR="00E46082" w:rsidRPr="00CD62E0">
        <w:rPr>
          <w:sz w:val="22"/>
          <w:szCs w:val="22"/>
        </w:rPr>
        <w:t>de propos injurieux, les salariés peuvent porter plainte</w:t>
      </w:r>
      <w:r w:rsidR="00BF38BD" w:rsidRPr="00CD62E0">
        <w:rPr>
          <w:sz w:val="22"/>
          <w:szCs w:val="22"/>
        </w:rPr>
        <w:t xml:space="preserve"> </w:t>
      </w:r>
      <w:r w:rsidR="00E63279" w:rsidRPr="00CD62E0">
        <w:rPr>
          <w:sz w:val="22"/>
          <w:szCs w:val="22"/>
        </w:rPr>
        <w:t xml:space="preserve">auprès des forces de l’ordre </w:t>
      </w:r>
      <w:r w:rsidR="00BF38BD" w:rsidRPr="00CD62E0">
        <w:rPr>
          <w:sz w:val="22"/>
          <w:szCs w:val="22"/>
        </w:rPr>
        <w:t>contre leurs agresseurs même quand leur agression s’est produite sur leur lieu de travail</w:t>
      </w:r>
      <w:r w:rsidR="00511417" w:rsidRPr="00CD62E0">
        <w:rPr>
          <w:sz w:val="22"/>
          <w:szCs w:val="22"/>
        </w:rPr>
        <w:t xml:space="preserve"> et qu’il s’agit de client</w:t>
      </w:r>
      <w:r w:rsidR="009C082E" w:rsidRPr="00CD62E0">
        <w:rPr>
          <w:sz w:val="22"/>
          <w:szCs w:val="22"/>
        </w:rPr>
        <w:t xml:space="preserve">s de l’entreprise. </w:t>
      </w:r>
    </w:p>
    <w:p w14:paraId="4993397B" w14:textId="6A6B1838" w:rsidR="00BF38BD" w:rsidRPr="00CD62E0" w:rsidRDefault="00BF38BD" w:rsidP="006A1C3D">
      <w:pPr>
        <w:jc w:val="both"/>
        <w:rPr>
          <w:sz w:val="22"/>
          <w:szCs w:val="22"/>
        </w:rPr>
      </w:pPr>
    </w:p>
    <w:p w14:paraId="298D1641" w14:textId="6BACBB69" w:rsidR="00BF38BD" w:rsidRPr="00CD62E0" w:rsidRDefault="00E63279" w:rsidP="006A1C3D">
      <w:pPr>
        <w:jc w:val="both"/>
        <w:rPr>
          <w:sz w:val="22"/>
          <w:szCs w:val="22"/>
        </w:rPr>
      </w:pPr>
      <w:r w:rsidRPr="00CD62E0">
        <w:rPr>
          <w:sz w:val="22"/>
          <w:szCs w:val="22"/>
        </w:rPr>
        <w:t xml:space="preserve">D’autant plus, s’il s’agit </w:t>
      </w:r>
      <w:r w:rsidRPr="00CD62E0">
        <w:rPr>
          <w:sz w:val="22"/>
          <w:szCs w:val="22"/>
          <w:u w:val="single"/>
        </w:rPr>
        <w:t>d’un harcèlement moral qui se définit par</w:t>
      </w:r>
      <w:r w:rsidR="00900D4F" w:rsidRPr="00CD62E0">
        <w:rPr>
          <w:sz w:val="22"/>
          <w:szCs w:val="22"/>
          <w:u w:val="single"/>
        </w:rPr>
        <w:t xml:space="preserve"> </w:t>
      </w:r>
      <w:r w:rsidRPr="00CD62E0">
        <w:rPr>
          <w:sz w:val="22"/>
          <w:szCs w:val="22"/>
          <w:u w:val="single"/>
        </w:rPr>
        <w:t>des propos ou comportements répétés ayant pour objet ou pour effet une dégradation de ses conditions de vie se traduisant par une altération de sa santé physique ou mentale</w:t>
      </w:r>
      <w:r w:rsidRPr="00CD62E0">
        <w:rPr>
          <w:sz w:val="22"/>
          <w:szCs w:val="22"/>
        </w:rPr>
        <w:t xml:space="preserve"> et qui est puni d'un an d'emprisonnement et de 15 000 € d'amende lorsque ces faits ont causé une incapacité totale de travail inférieure ou égale à huit jours ou n'ont entraîné aucune incapacité de travail (Article 222-33-2-2 du code pénal).  </w:t>
      </w:r>
    </w:p>
    <w:p w14:paraId="5A3B095A" w14:textId="25E2B8D5" w:rsidR="00E63279" w:rsidRPr="00CD62E0" w:rsidRDefault="00E63279" w:rsidP="006A1C3D">
      <w:pPr>
        <w:jc w:val="both"/>
        <w:rPr>
          <w:sz w:val="22"/>
          <w:szCs w:val="22"/>
        </w:rPr>
      </w:pPr>
    </w:p>
    <w:p w14:paraId="05D995E1" w14:textId="5E0DE9E8" w:rsidR="00E63279" w:rsidRPr="00CD62E0" w:rsidRDefault="00E63279" w:rsidP="00CD62E0">
      <w:pPr>
        <w:jc w:val="both"/>
        <w:rPr>
          <w:b/>
          <w:bCs/>
          <w:color w:val="C00000"/>
        </w:rPr>
      </w:pPr>
      <w:r w:rsidRPr="00CD62E0">
        <w:rPr>
          <w:b/>
          <w:bCs/>
          <w:color w:val="C00000"/>
        </w:rPr>
        <w:t xml:space="preserve">Les obligations de l’employeur </w:t>
      </w:r>
    </w:p>
    <w:p w14:paraId="1565202B" w14:textId="77777777" w:rsidR="00BF38BD" w:rsidRPr="00CD62E0" w:rsidRDefault="00BF38BD" w:rsidP="006A1C3D">
      <w:pPr>
        <w:jc w:val="both"/>
        <w:rPr>
          <w:sz w:val="22"/>
          <w:szCs w:val="22"/>
        </w:rPr>
      </w:pPr>
    </w:p>
    <w:p w14:paraId="223DA657" w14:textId="3B0335D2" w:rsidR="00EE1403" w:rsidRPr="00CD62E0" w:rsidRDefault="00E63279" w:rsidP="006A1C3D">
      <w:pPr>
        <w:jc w:val="both"/>
        <w:rPr>
          <w:sz w:val="22"/>
          <w:szCs w:val="22"/>
        </w:rPr>
      </w:pPr>
      <w:r w:rsidRPr="00CD62E0">
        <w:rPr>
          <w:sz w:val="22"/>
          <w:szCs w:val="22"/>
        </w:rPr>
        <w:t>L’article L.</w:t>
      </w:r>
      <w:r w:rsidR="00CD62E0">
        <w:rPr>
          <w:sz w:val="22"/>
          <w:szCs w:val="22"/>
        </w:rPr>
        <w:t xml:space="preserve"> </w:t>
      </w:r>
      <w:r w:rsidRPr="00CD62E0">
        <w:rPr>
          <w:sz w:val="22"/>
          <w:szCs w:val="22"/>
        </w:rPr>
        <w:t>4121-1 du code du travail impose à l’employeur de prendre les mesures nécessaires pour assurer la sécurité et protéger la santé physique et mentale des travailleurs.</w:t>
      </w:r>
    </w:p>
    <w:p w14:paraId="165D60D1" w14:textId="1757FEA8" w:rsidR="00B554A5" w:rsidRPr="00CD62E0" w:rsidRDefault="00B554A5" w:rsidP="006A1C3D">
      <w:pPr>
        <w:jc w:val="both"/>
        <w:rPr>
          <w:sz w:val="22"/>
          <w:szCs w:val="22"/>
        </w:rPr>
      </w:pPr>
    </w:p>
    <w:tbl>
      <w:tblPr>
        <w:tblStyle w:val="Grilledutableau"/>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9056"/>
      </w:tblGrid>
      <w:tr w:rsidR="00B554A5" w:rsidRPr="00CD62E0" w14:paraId="44FF383A" w14:textId="77777777" w:rsidTr="00B554A5">
        <w:tc>
          <w:tcPr>
            <w:tcW w:w="9056" w:type="dxa"/>
          </w:tcPr>
          <w:p w14:paraId="0A5B37F1" w14:textId="77777777" w:rsidR="00B554A5" w:rsidRPr="00CD62E0" w:rsidRDefault="00B554A5" w:rsidP="00B554A5">
            <w:pPr>
              <w:jc w:val="both"/>
              <w:rPr>
                <w:b/>
                <w:bCs/>
                <w:sz w:val="22"/>
                <w:szCs w:val="22"/>
              </w:rPr>
            </w:pPr>
            <w:r w:rsidRPr="00CD62E0">
              <w:rPr>
                <w:b/>
                <w:bCs/>
                <w:sz w:val="22"/>
                <w:szCs w:val="22"/>
              </w:rPr>
              <w:t>Ces mesures comprennent :</w:t>
            </w:r>
          </w:p>
          <w:p w14:paraId="687DBBFD" w14:textId="31ED3320" w:rsidR="00B554A5" w:rsidRPr="00CD62E0" w:rsidRDefault="00B554A5" w:rsidP="00CD62E0">
            <w:pPr>
              <w:pStyle w:val="Paragraphedeliste"/>
              <w:numPr>
                <w:ilvl w:val="0"/>
                <w:numId w:val="23"/>
              </w:numPr>
              <w:jc w:val="both"/>
              <w:rPr>
                <w:b/>
                <w:bCs/>
                <w:sz w:val="22"/>
                <w:szCs w:val="22"/>
              </w:rPr>
            </w:pPr>
            <w:r w:rsidRPr="00CD62E0">
              <w:rPr>
                <w:b/>
                <w:bCs/>
                <w:sz w:val="22"/>
                <w:szCs w:val="22"/>
              </w:rPr>
              <w:t>Des actions de prévention des risques professionnels ;</w:t>
            </w:r>
          </w:p>
          <w:p w14:paraId="3AA1D5E4" w14:textId="3C3EDE99" w:rsidR="00B554A5" w:rsidRPr="00CD62E0" w:rsidRDefault="00B554A5" w:rsidP="00CD62E0">
            <w:pPr>
              <w:pStyle w:val="Paragraphedeliste"/>
              <w:numPr>
                <w:ilvl w:val="0"/>
                <w:numId w:val="23"/>
              </w:numPr>
              <w:jc w:val="both"/>
              <w:rPr>
                <w:b/>
                <w:bCs/>
                <w:sz w:val="22"/>
                <w:szCs w:val="22"/>
              </w:rPr>
            </w:pPr>
            <w:r w:rsidRPr="00CD62E0">
              <w:rPr>
                <w:b/>
                <w:bCs/>
                <w:sz w:val="22"/>
                <w:szCs w:val="22"/>
              </w:rPr>
              <w:t>Des actions d'information et de formation ;</w:t>
            </w:r>
          </w:p>
          <w:p w14:paraId="7C8CEA23" w14:textId="54ACA5F8" w:rsidR="00B554A5" w:rsidRPr="00CD62E0" w:rsidRDefault="00B554A5" w:rsidP="00CD62E0">
            <w:pPr>
              <w:pStyle w:val="Paragraphedeliste"/>
              <w:numPr>
                <w:ilvl w:val="0"/>
                <w:numId w:val="23"/>
              </w:numPr>
              <w:jc w:val="both"/>
              <w:rPr>
                <w:sz w:val="22"/>
                <w:szCs w:val="22"/>
              </w:rPr>
            </w:pPr>
            <w:r w:rsidRPr="00CD62E0">
              <w:rPr>
                <w:b/>
                <w:bCs/>
                <w:sz w:val="22"/>
                <w:szCs w:val="22"/>
              </w:rPr>
              <w:t>La mise en place d'une organisation et de moyens adaptés.</w:t>
            </w:r>
          </w:p>
        </w:tc>
      </w:tr>
    </w:tbl>
    <w:p w14:paraId="70D092E5" w14:textId="0CA05FAB" w:rsidR="00E63279" w:rsidRPr="00CD62E0" w:rsidRDefault="00E63279" w:rsidP="006A1C3D">
      <w:pPr>
        <w:jc w:val="both"/>
        <w:rPr>
          <w:sz w:val="22"/>
          <w:szCs w:val="22"/>
        </w:rPr>
      </w:pPr>
    </w:p>
    <w:p w14:paraId="5C93604A" w14:textId="77777777" w:rsidR="0007475D" w:rsidRPr="00CD62E0" w:rsidRDefault="0007475D" w:rsidP="0007475D">
      <w:pPr>
        <w:jc w:val="both"/>
        <w:rPr>
          <w:sz w:val="22"/>
          <w:szCs w:val="22"/>
        </w:rPr>
      </w:pPr>
      <w:r w:rsidRPr="00CD62E0">
        <w:rPr>
          <w:sz w:val="22"/>
          <w:szCs w:val="22"/>
        </w:rPr>
        <w:t>L’obligation de sécurité de l’employeur s’applique en matière de harcèlement moral et de violences physiques ou morales.</w:t>
      </w:r>
    </w:p>
    <w:p w14:paraId="1CE1E57B" w14:textId="77777777" w:rsidR="0007475D" w:rsidRPr="00CD62E0" w:rsidRDefault="0007475D" w:rsidP="0007475D">
      <w:pPr>
        <w:jc w:val="both"/>
        <w:rPr>
          <w:sz w:val="22"/>
          <w:szCs w:val="22"/>
        </w:rPr>
      </w:pPr>
    </w:p>
    <w:p w14:paraId="7F82DBFD" w14:textId="559943BA" w:rsidR="00E63279" w:rsidRPr="00940E24" w:rsidRDefault="0007475D" w:rsidP="0007475D">
      <w:pPr>
        <w:jc w:val="both"/>
        <w:rPr>
          <w:i/>
          <w:iCs/>
          <w:sz w:val="22"/>
          <w:szCs w:val="22"/>
        </w:rPr>
      </w:pPr>
      <w:r w:rsidRPr="00940E24">
        <w:rPr>
          <w:i/>
          <w:iCs/>
          <w:sz w:val="22"/>
          <w:szCs w:val="22"/>
        </w:rPr>
        <w:t xml:space="preserve">Il a été jugé que des propos à connotations racistes ou des injures sexistes s'apparentent à des violences morales pouvant, le cas échéant, engager la responsabilité de l'employeur au nom de son obligation légale de sécurité (Cass. </w:t>
      </w:r>
      <w:proofErr w:type="gramStart"/>
      <w:r w:rsidRPr="00940E24">
        <w:rPr>
          <w:i/>
          <w:iCs/>
          <w:sz w:val="22"/>
          <w:szCs w:val="22"/>
        </w:rPr>
        <w:t>soc</w:t>
      </w:r>
      <w:proofErr w:type="gramEnd"/>
      <w:r w:rsidRPr="00940E24">
        <w:rPr>
          <w:i/>
          <w:iCs/>
          <w:sz w:val="22"/>
          <w:szCs w:val="22"/>
        </w:rPr>
        <w:t>. 30 janvier 2019, n° 17-28905).</w:t>
      </w:r>
    </w:p>
    <w:p w14:paraId="17B49F62" w14:textId="6401A458" w:rsidR="0007475D" w:rsidRPr="00CD62E0" w:rsidRDefault="0007475D" w:rsidP="0007475D">
      <w:pPr>
        <w:jc w:val="both"/>
        <w:rPr>
          <w:sz w:val="22"/>
          <w:szCs w:val="22"/>
        </w:rPr>
      </w:pPr>
    </w:p>
    <w:p w14:paraId="7B375832" w14:textId="77777777" w:rsidR="00B554A5" w:rsidRPr="00CD62E0" w:rsidRDefault="00B554A5" w:rsidP="00B554A5">
      <w:pPr>
        <w:jc w:val="both"/>
        <w:rPr>
          <w:sz w:val="22"/>
          <w:szCs w:val="22"/>
        </w:rPr>
      </w:pPr>
      <w:r w:rsidRPr="00CD62E0">
        <w:rPr>
          <w:sz w:val="22"/>
          <w:szCs w:val="22"/>
        </w:rPr>
        <w:t>La violence au travail s’exprime par des comportements inacceptables d’un ou de plusieurs individus (ANI du 26 mars 2010, art. 2, étendu par arrêté du 23 juillet 2010, JO du 31).</w:t>
      </w:r>
    </w:p>
    <w:p w14:paraId="2E0AA899" w14:textId="3FB539FF" w:rsidR="00B554A5" w:rsidRPr="00CD62E0" w:rsidRDefault="00B554A5" w:rsidP="00B554A5">
      <w:pPr>
        <w:jc w:val="both"/>
        <w:rPr>
          <w:sz w:val="22"/>
          <w:szCs w:val="22"/>
        </w:rPr>
      </w:pPr>
      <w:r w:rsidRPr="00CD62E0">
        <w:rPr>
          <w:sz w:val="22"/>
          <w:szCs w:val="22"/>
        </w:rPr>
        <w:t>Elle se produit lorsqu’un ou plusieurs salariés sont agressés dans des circonstances liées au travail. Elle va du manque de respect à la manifestation de la volonté de nuire, de détruire, de l’incivilité à l’agression physique. Elle peut prendre la forme d’agression verbale, d’agression comportementale, notamment sexiste, d’agression physique, etc. (ANI du 26 mars 2010, art. 2, étendu par arrêté du 23 juillet 2010, JO du 31).</w:t>
      </w:r>
    </w:p>
    <w:p w14:paraId="267ED07E" w14:textId="6A1137FB" w:rsidR="00B554A5" w:rsidRPr="00CD62E0" w:rsidRDefault="00B554A5" w:rsidP="00B554A5">
      <w:pPr>
        <w:jc w:val="both"/>
        <w:rPr>
          <w:sz w:val="22"/>
          <w:szCs w:val="22"/>
        </w:rPr>
      </w:pPr>
    </w:p>
    <w:p w14:paraId="319D7997" w14:textId="322813DA" w:rsidR="00B554A5" w:rsidRPr="00CD62E0" w:rsidRDefault="00B554A5" w:rsidP="00940E24">
      <w:pPr>
        <w:pBdr>
          <w:top w:val="single" w:sz="4" w:space="1" w:color="C00000"/>
          <w:left w:val="single" w:sz="4" w:space="0" w:color="C00000"/>
          <w:bottom w:val="single" w:sz="4" w:space="1" w:color="C00000"/>
          <w:right w:val="single" w:sz="4" w:space="4" w:color="C00000"/>
        </w:pBdr>
        <w:jc w:val="both"/>
        <w:rPr>
          <w:b/>
          <w:bCs/>
          <w:sz w:val="22"/>
          <w:szCs w:val="22"/>
        </w:rPr>
      </w:pPr>
      <w:r w:rsidRPr="00CD62E0">
        <w:rPr>
          <w:b/>
          <w:bCs/>
          <w:sz w:val="22"/>
          <w:szCs w:val="22"/>
        </w:rPr>
        <w:t>Aucun salarié ne doit subir des agressions ou des violences dans des circonstances liées au travail, qu’il s’agisse de violence interne, ou externe. Les entreprises, quel que soit leur effectif, ont donc l’obligation de prévenir les problèmes de violence au travail</w:t>
      </w:r>
      <w:r w:rsidR="00B33A2C" w:rsidRPr="00CD62E0">
        <w:rPr>
          <w:b/>
          <w:bCs/>
          <w:sz w:val="22"/>
          <w:szCs w:val="22"/>
        </w:rPr>
        <w:t xml:space="preserve"> </w:t>
      </w:r>
      <w:r w:rsidRPr="00CD62E0">
        <w:rPr>
          <w:b/>
          <w:bCs/>
          <w:sz w:val="22"/>
          <w:szCs w:val="22"/>
        </w:rPr>
        <w:t>(ANI du 26 mars 2010, étendu par arrêté du 23 juillet 2010, JO du 31).</w:t>
      </w:r>
    </w:p>
    <w:p w14:paraId="468E5A80" w14:textId="5E32C534" w:rsidR="0094684A" w:rsidRPr="00CD62E0" w:rsidRDefault="0094684A" w:rsidP="00B554A5">
      <w:pPr>
        <w:jc w:val="both"/>
        <w:rPr>
          <w:sz w:val="22"/>
          <w:szCs w:val="22"/>
        </w:rPr>
      </w:pPr>
    </w:p>
    <w:p w14:paraId="5CC43A86" w14:textId="0C43CF89" w:rsidR="0094684A" w:rsidRPr="00CD62E0" w:rsidRDefault="0094684A" w:rsidP="00B554A5">
      <w:pPr>
        <w:jc w:val="both"/>
        <w:rPr>
          <w:sz w:val="22"/>
          <w:szCs w:val="22"/>
        </w:rPr>
      </w:pPr>
      <w:r w:rsidRPr="00CD62E0">
        <w:rPr>
          <w:sz w:val="22"/>
          <w:szCs w:val="22"/>
        </w:rPr>
        <w:t xml:space="preserve">L’employeur doit prendre des mesures en concertation avec les salariés ou le </w:t>
      </w:r>
      <w:r w:rsidR="00940E24">
        <w:rPr>
          <w:sz w:val="22"/>
          <w:szCs w:val="22"/>
        </w:rPr>
        <w:t>CSE</w:t>
      </w:r>
      <w:r w:rsidRPr="00CD62E0">
        <w:rPr>
          <w:sz w:val="22"/>
          <w:szCs w:val="22"/>
        </w:rPr>
        <w:t>, à l’examen de telles situations lorsqu’elles sont constatées, y compris au regard de l’ensemble des éléments de l’environnement de travail : comportements individuels, modes de management, relations avec la clientèle, mode de fonctionnement de l’entreprise, etc. (ANI du 26 mars 2010, art. 4 et 5, étendu par arrêté du 23 juillet 2010, JO du 31).</w:t>
      </w:r>
    </w:p>
    <w:p w14:paraId="3AB995E0" w14:textId="7CB78D69" w:rsidR="0094684A" w:rsidRPr="00CD62E0" w:rsidRDefault="0094684A" w:rsidP="00B554A5">
      <w:pPr>
        <w:jc w:val="both"/>
        <w:rPr>
          <w:sz w:val="22"/>
          <w:szCs w:val="22"/>
        </w:rPr>
      </w:pPr>
    </w:p>
    <w:p w14:paraId="28B8E996" w14:textId="2A136611" w:rsidR="0094684A" w:rsidRPr="00CD62E0" w:rsidRDefault="0094684A" w:rsidP="00B554A5">
      <w:pPr>
        <w:jc w:val="both"/>
        <w:rPr>
          <w:sz w:val="22"/>
          <w:szCs w:val="22"/>
        </w:rPr>
      </w:pPr>
      <w:r w:rsidRPr="00CD62E0">
        <w:rPr>
          <w:sz w:val="22"/>
          <w:szCs w:val="22"/>
        </w:rPr>
        <w:t>L’employeur peut notamment sensibiliser et former les salariés et leurs responsables hiérarchiques à réagir lors de telles situations (ANI du 26 mars 2010, art. 4, étendu par arrêté du 23 juillet 2010, JO du 31).</w:t>
      </w:r>
    </w:p>
    <w:p w14:paraId="1D16715C" w14:textId="77777777" w:rsidR="0007475D" w:rsidRPr="00CD62E0" w:rsidRDefault="0007475D" w:rsidP="0007475D">
      <w:pPr>
        <w:jc w:val="both"/>
        <w:rPr>
          <w:sz w:val="22"/>
          <w:szCs w:val="22"/>
        </w:rPr>
      </w:pPr>
    </w:p>
    <w:p w14:paraId="28F2C848" w14:textId="62C22E8A" w:rsidR="00E63279" w:rsidRPr="00CD62E0" w:rsidRDefault="0094684A" w:rsidP="006A1C3D">
      <w:pPr>
        <w:jc w:val="both"/>
        <w:rPr>
          <w:sz w:val="22"/>
          <w:szCs w:val="22"/>
        </w:rPr>
      </w:pPr>
      <w:r w:rsidRPr="00CD62E0">
        <w:rPr>
          <w:sz w:val="22"/>
          <w:szCs w:val="22"/>
        </w:rPr>
        <w:lastRenderedPageBreak/>
        <w:t xml:space="preserve">S’agissant des agressions par des </w:t>
      </w:r>
      <w:r w:rsidR="00B1510A" w:rsidRPr="00CD62E0">
        <w:rPr>
          <w:sz w:val="22"/>
          <w:szCs w:val="22"/>
        </w:rPr>
        <w:t>tiers à l’entreprise (comme des clients),</w:t>
      </w:r>
      <w:r w:rsidRPr="00CD62E0">
        <w:rPr>
          <w:sz w:val="22"/>
          <w:szCs w:val="22"/>
        </w:rPr>
        <w:t xml:space="preserve"> l’e</w:t>
      </w:r>
      <w:r w:rsidR="00B1510A" w:rsidRPr="00CD62E0">
        <w:rPr>
          <w:sz w:val="22"/>
          <w:szCs w:val="22"/>
        </w:rPr>
        <w:t>mployeur</w:t>
      </w:r>
      <w:r w:rsidRPr="00CD62E0">
        <w:rPr>
          <w:sz w:val="22"/>
          <w:szCs w:val="22"/>
        </w:rPr>
        <w:t xml:space="preserve"> pourra prévoir des mesures d’accompagnement, notamment juridiques, </w:t>
      </w:r>
      <w:r w:rsidR="00940E24">
        <w:rPr>
          <w:sz w:val="22"/>
          <w:szCs w:val="22"/>
        </w:rPr>
        <w:t>pour le</w:t>
      </w:r>
      <w:r w:rsidRPr="00CD62E0">
        <w:rPr>
          <w:sz w:val="22"/>
          <w:szCs w:val="22"/>
        </w:rPr>
        <w:t xml:space="preserve"> salarié agressé (ANI du 26 mars 2010, art. 5, étendu par arrêté du 23 juillet 2010, JO du 31).</w:t>
      </w:r>
    </w:p>
    <w:p w14:paraId="3DE0C655" w14:textId="73258B9C" w:rsidR="00762591" w:rsidRPr="00CD62E0" w:rsidRDefault="00762591" w:rsidP="006A1C3D">
      <w:pPr>
        <w:jc w:val="both"/>
        <w:rPr>
          <w:sz w:val="22"/>
          <w:szCs w:val="22"/>
        </w:rPr>
      </w:pPr>
    </w:p>
    <w:p w14:paraId="50742706" w14:textId="77777777" w:rsidR="00762591" w:rsidRPr="00CD62E0" w:rsidRDefault="00762591" w:rsidP="00762591">
      <w:pPr>
        <w:jc w:val="both"/>
        <w:rPr>
          <w:b/>
          <w:bCs/>
          <w:sz w:val="22"/>
          <w:szCs w:val="22"/>
        </w:rPr>
      </w:pPr>
      <w:r w:rsidRPr="00CD62E0">
        <w:rPr>
          <w:b/>
          <w:bCs/>
          <w:sz w:val="22"/>
          <w:szCs w:val="22"/>
        </w:rPr>
        <w:t xml:space="preserve">En cas d’accident ou de maladie liée aux conditions de travail, l’employeur peut être condamné par le Tribunal judiciaire à indemniser le salarié pour faute inexcusable (Cass. Soc.  6 janvier 2011, n° RG n°09-66704).  </w:t>
      </w:r>
    </w:p>
    <w:p w14:paraId="1309F9C8" w14:textId="77777777" w:rsidR="00762591" w:rsidRPr="00CD62E0" w:rsidRDefault="00762591" w:rsidP="00762591">
      <w:pPr>
        <w:jc w:val="both"/>
        <w:rPr>
          <w:sz w:val="22"/>
          <w:szCs w:val="22"/>
        </w:rPr>
      </w:pPr>
    </w:p>
    <w:p w14:paraId="0269CC9F" w14:textId="00C03704" w:rsidR="00762591" w:rsidRPr="00CD62E0" w:rsidRDefault="00762591" w:rsidP="00762591">
      <w:pPr>
        <w:jc w:val="both"/>
        <w:rPr>
          <w:sz w:val="22"/>
          <w:szCs w:val="22"/>
        </w:rPr>
      </w:pPr>
      <w:r w:rsidRPr="00CD62E0">
        <w:rPr>
          <w:sz w:val="22"/>
          <w:szCs w:val="22"/>
        </w:rPr>
        <w:t>La faute inexcusable existe dès lors que l’employeur avait ou aurait dû avoir conscience des dangers auxquels était exposé le salarié, et qu’il n’a pas pris les mesures nécessaires pour l’en préserver.</w:t>
      </w:r>
    </w:p>
    <w:p w14:paraId="7F13C26A" w14:textId="341657EA" w:rsidR="0094684A" w:rsidRPr="00CD62E0" w:rsidRDefault="0094684A" w:rsidP="006A1C3D">
      <w:pPr>
        <w:jc w:val="both"/>
        <w:rPr>
          <w:sz w:val="22"/>
          <w:szCs w:val="22"/>
        </w:rPr>
      </w:pPr>
    </w:p>
    <w:p w14:paraId="466C8310" w14:textId="690B4142" w:rsidR="00F4777D" w:rsidRPr="00CD62E0" w:rsidRDefault="00762591" w:rsidP="00F4777D">
      <w:pPr>
        <w:jc w:val="both"/>
        <w:rPr>
          <w:b/>
          <w:bCs/>
          <w:sz w:val="22"/>
          <w:szCs w:val="22"/>
        </w:rPr>
      </w:pPr>
      <w:r w:rsidRPr="00CD62E0">
        <w:rPr>
          <w:b/>
          <w:bCs/>
          <w:sz w:val="22"/>
          <w:szCs w:val="22"/>
        </w:rPr>
        <w:t>Par ailleurs, le salarié victime d’un accident ou d’une maladie peut saisir la juridiction pénale pour manquement de l’employeur à son obligation de sécurité, ce qui constitue un délit pouvant déboucher sur une amende (d’un montant minimum de 3 750 €) et une peine de prison (jusqu’à 10 ans) (article 121-3 du Code pénal).</w:t>
      </w:r>
    </w:p>
    <w:p w14:paraId="6FD372A4" w14:textId="1DE1F7F0" w:rsidR="00762591" w:rsidRPr="00CD62E0" w:rsidRDefault="00762591" w:rsidP="00F4777D">
      <w:pPr>
        <w:jc w:val="both"/>
        <w:rPr>
          <w:sz w:val="22"/>
          <w:szCs w:val="22"/>
        </w:rPr>
      </w:pPr>
    </w:p>
    <w:p w14:paraId="00F17D7F" w14:textId="6D66E078" w:rsidR="00762591" w:rsidRPr="00CD62E0" w:rsidRDefault="00C019E0" w:rsidP="00A42B3D">
      <w:pPr>
        <w:pBdr>
          <w:top w:val="single" w:sz="4" w:space="1" w:color="C00000"/>
          <w:left w:val="single" w:sz="4" w:space="4" w:color="C00000"/>
          <w:bottom w:val="single" w:sz="4" w:space="1" w:color="C00000"/>
          <w:right w:val="single" w:sz="4" w:space="4" w:color="C00000"/>
        </w:pBdr>
        <w:jc w:val="both"/>
        <w:rPr>
          <w:sz w:val="22"/>
          <w:szCs w:val="22"/>
        </w:rPr>
      </w:pPr>
      <w:r w:rsidRPr="00CD62E0">
        <w:rPr>
          <w:sz w:val="22"/>
          <w:szCs w:val="22"/>
        </w:rPr>
        <w:t>Pour rappel, s</w:t>
      </w:r>
      <w:r w:rsidR="00A42B3D" w:rsidRPr="00CD62E0">
        <w:rPr>
          <w:sz w:val="22"/>
          <w:szCs w:val="22"/>
        </w:rPr>
        <w:t>i le salarié estime que sa situation de travail présente un danger grave et imminent pour sa vie ou sa santé, il peut quitter son poste. C’est ce que l’on appelle le droit de retrait du salarié (article L. 4131-1 du Code du travail). Dans un premier temps, le salarié doit alerter son responsable. Ensuite, il attend que l’employeur ait rétabli la situation avant de retourner sur son poste.</w:t>
      </w:r>
    </w:p>
    <w:p w14:paraId="5104AC21" w14:textId="3B4C407C" w:rsidR="00AA3852" w:rsidRPr="00CD62E0" w:rsidRDefault="00AA3852" w:rsidP="00F4777D">
      <w:pPr>
        <w:jc w:val="both"/>
        <w:rPr>
          <w:sz w:val="22"/>
          <w:szCs w:val="22"/>
        </w:rPr>
      </w:pPr>
    </w:p>
    <w:p w14:paraId="7752AE5C" w14:textId="39F7ED0B" w:rsidR="00AA3852" w:rsidRPr="00CD62E0" w:rsidRDefault="00AA3852" w:rsidP="00F4777D">
      <w:pPr>
        <w:jc w:val="both"/>
        <w:rPr>
          <w:sz w:val="22"/>
          <w:szCs w:val="22"/>
        </w:rPr>
      </w:pPr>
    </w:p>
    <w:p w14:paraId="774D8EF1" w14:textId="77777777" w:rsidR="00AA3852" w:rsidRPr="00CD62E0" w:rsidRDefault="00AA3852" w:rsidP="00F4777D">
      <w:pPr>
        <w:jc w:val="both"/>
        <w:rPr>
          <w:sz w:val="22"/>
          <w:szCs w:val="22"/>
        </w:rPr>
      </w:pPr>
    </w:p>
    <w:p w14:paraId="3E01CDA2" w14:textId="229371FF" w:rsidR="009D20CF" w:rsidRDefault="009D20CF" w:rsidP="004F5BA2">
      <w:pPr>
        <w:jc w:val="right"/>
        <w:rPr>
          <w:rFonts w:ascii="Wingdings" w:hAnsi="Wingdings"/>
        </w:rPr>
      </w:pPr>
      <w:r w:rsidRPr="00ED5C87">
        <w:rPr>
          <w:rFonts w:ascii="Wingdings" w:hAnsi="Wingdings"/>
          <w:color w:val="F62024"/>
        </w:rPr>
        <w:t>)</w:t>
      </w:r>
      <w:r w:rsidR="00ED5C87">
        <w:t xml:space="preserve"> </w:t>
      </w:r>
      <w:r w:rsidR="00BC61A1" w:rsidRPr="00BC61A1">
        <w:t>0</w:t>
      </w:r>
      <w:r w:rsidR="00ED5C87">
        <w:t>1</w:t>
      </w:r>
      <w:r w:rsidR="008450AB" w:rsidRPr="008450AB">
        <w:t>86904373</w:t>
      </w:r>
    </w:p>
    <w:p w14:paraId="663A8742" w14:textId="77777777" w:rsidR="009D20CF" w:rsidRPr="009D20CF" w:rsidRDefault="009D20CF" w:rsidP="004F5BA2">
      <w:pPr>
        <w:jc w:val="right"/>
      </w:pPr>
      <w:r w:rsidRPr="00ED5C87">
        <w:rPr>
          <w:color w:val="F62024"/>
        </w:rPr>
        <w:t>@</w:t>
      </w:r>
      <w:r w:rsidR="00BC61A1">
        <w:t xml:space="preserve"> </w:t>
      </w:r>
      <w:hyperlink r:id="rId8" w:history="1">
        <w:r w:rsidR="00ED5C87" w:rsidRPr="00B950B5">
          <w:rPr>
            <w:rStyle w:val="Lienhypertexte"/>
          </w:rPr>
          <w:t>juridique@fgta-fo.org</w:t>
        </w:r>
      </w:hyperlink>
    </w:p>
    <w:p w14:paraId="7215EA4C" w14:textId="39E17F32" w:rsidR="00E31B2B" w:rsidRPr="00625B24" w:rsidRDefault="00BC61A1" w:rsidP="00E31B2B">
      <w:pPr>
        <w:pStyle w:val="Paragraphedeliste"/>
        <w:numPr>
          <w:ilvl w:val="0"/>
          <w:numId w:val="1"/>
        </w:numPr>
        <w:jc w:val="right"/>
        <w:rPr>
          <w:lang w:val="en-US"/>
        </w:rPr>
      </w:pPr>
      <w:r w:rsidRPr="00BC61A1">
        <w:rPr>
          <w:lang w:val="en-US"/>
        </w:rPr>
        <w:t xml:space="preserve">FGTA-FO, 15 avenue Victor Hugo 92170 </w:t>
      </w:r>
      <w:r w:rsidR="00707D59">
        <w:rPr>
          <w:lang w:val="en-US"/>
        </w:rPr>
        <w:t>V</w:t>
      </w:r>
      <w:r w:rsidRPr="00BC61A1">
        <w:rPr>
          <w:lang w:val="en-US"/>
        </w:rPr>
        <w:t>anves</w:t>
      </w:r>
    </w:p>
    <w:sectPr w:rsidR="00E31B2B" w:rsidRPr="00625B24" w:rsidSect="00BA7AE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8499A" w14:textId="77777777" w:rsidR="00C828F5" w:rsidRDefault="00C828F5" w:rsidP="00AC29F7">
      <w:r>
        <w:separator/>
      </w:r>
    </w:p>
  </w:endnote>
  <w:endnote w:type="continuationSeparator" w:id="0">
    <w:p w14:paraId="4FBB5BC8" w14:textId="77777777" w:rsidR="00C828F5" w:rsidRDefault="00C828F5" w:rsidP="00AC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8500" w14:textId="77777777" w:rsidR="00ED5C87" w:rsidRDefault="00ED5C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8D30" w14:textId="77777777" w:rsidR="00AC29F7" w:rsidRDefault="00555C4C">
    <w:pPr>
      <w:pStyle w:val="Pieddepage"/>
    </w:pPr>
    <w:r>
      <w:rPr>
        <w:noProof/>
      </w:rPr>
      <w:drawing>
        <wp:anchor distT="0" distB="0" distL="114300" distR="114300" simplePos="0" relativeHeight="251670528" behindDoc="0" locked="0" layoutInCell="1" allowOverlap="1" wp14:anchorId="5BF5143F" wp14:editId="6416976A">
          <wp:simplePos x="0" y="0"/>
          <wp:positionH relativeFrom="column">
            <wp:posOffset>1648888</wp:posOffset>
          </wp:positionH>
          <wp:positionV relativeFrom="paragraph">
            <wp:posOffset>-50165</wp:posOffset>
          </wp:positionV>
          <wp:extent cx="2391558" cy="454865"/>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culture Agroalimentaire blanc.png"/>
                  <pic:cNvPicPr/>
                </pic:nvPicPr>
                <pic:blipFill>
                  <a:blip r:embed="rId1">
                    <a:extLst>
                      <a:ext uri="{28A0092B-C50C-407E-A947-70E740481C1C}">
                        <a14:useLocalDpi xmlns:a14="http://schemas.microsoft.com/office/drawing/2010/main" val="0"/>
                      </a:ext>
                    </a:extLst>
                  </a:blip>
                  <a:stretch>
                    <a:fillRect/>
                  </a:stretch>
                </pic:blipFill>
                <pic:spPr>
                  <a:xfrm>
                    <a:off x="0" y="0"/>
                    <a:ext cx="2391558" cy="4548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51BBB83D" wp14:editId="2997EA3B">
              <wp:simplePos x="0" y="0"/>
              <wp:positionH relativeFrom="column">
                <wp:posOffset>-887095</wp:posOffset>
              </wp:positionH>
              <wp:positionV relativeFrom="paragraph">
                <wp:posOffset>-278765</wp:posOffset>
              </wp:positionV>
              <wp:extent cx="7556500" cy="965200"/>
              <wp:effectExtent l="0" t="0" r="0" b="0"/>
              <wp:wrapNone/>
              <wp:docPr id="1" name="Rectangle 1"/>
              <wp:cNvGraphicFramePr/>
              <a:graphic xmlns:a="http://schemas.openxmlformats.org/drawingml/2006/main">
                <a:graphicData uri="http://schemas.microsoft.com/office/word/2010/wordprocessingShape">
                  <wps:wsp>
                    <wps:cNvSpPr/>
                    <wps:spPr>
                      <a:xfrm>
                        <a:off x="0" y="0"/>
                        <a:ext cx="7556500" cy="965200"/>
                      </a:xfrm>
                      <a:prstGeom prst="rect">
                        <a:avLst/>
                      </a:prstGeom>
                      <a:solidFill>
                        <a:srgbClr val="F620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E6BF30" id="Rectangle 1" o:spid="_x0000_s1026" style="position:absolute;margin-left:-69.85pt;margin-top:-21.95pt;width:595pt;height: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" fillcolor="#f62024"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A12C" w14:textId="77777777" w:rsidR="00555C4C" w:rsidRDefault="00555C4C">
    <w:pPr>
      <w:pStyle w:val="Pieddepage"/>
    </w:pPr>
    <w:r>
      <w:rPr>
        <w:noProof/>
      </w:rPr>
      <w:drawing>
        <wp:anchor distT="0" distB="0" distL="114300" distR="114300" simplePos="0" relativeHeight="251676672" behindDoc="0" locked="0" layoutInCell="1" allowOverlap="1" wp14:anchorId="2FEFA3BF" wp14:editId="176997F4">
          <wp:simplePos x="0" y="0"/>
          <wp:positionH relativeFrom="column">
            <wp:posOffset>1636188</wp:posOffset>
          </wp:positionH>
          <wp:positionV relativeFrom="paragraph">
            <wp:posOffset>-37465</wp:posOffset>
          </wp:positionV>
          <wp:extent cx="2391558" cy="454865"/>
          <wp:effectExtent l="0" t="0" r="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culture Agroalimentaire blanc.png"/>
                  <pic:cNvPicPr/>
                </pic:nvPicPr>
                <pic:blipFill>
                  <a:blip r:embed="rId1">
                    <a:extLst>
                      <a:ext uri="{28A0092B-C50C-407E-A947-70E740481C1C}">
                        <a14:useLocalDpi xmlns:a14="http://schemas.microsoft.com/office/drawing/2010/main" val="0"/>
                      </a:ext>
                    </a:extLst>
                  </a:blip>
                  <a:stretch>
                    <a:fillRect/>
                  </a:stretch>
                </pic:blipFill>
                <pic:spPr>
                  <a:xfrm>
                    <a:off x="0" y="0"/>
                    <a:ext cx="2391558" cy="4548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48F71CA5" wp14:editId="4B12B7D6">
              <wp:simplePos x="0" y="0"/>
              <wp:positionH relativeFrom="column">
                <wp:posOffset>-889000</wp:posOffset>
              </wp:positionH>
              <wp:positionV relativeFrom="paragraph">
                <wp:posOffset>-279400</wp:posOffset>
              </wp:positionV>
              <wp:extent cx="7556500" cy="965200"/>
              <wp:effectExtent l="0" t="0" r="0" b="0"/>
              <wp:wrapNone/>
              <wp:docPr id="10" name="Rectangle 10"/>
              <wp:cNvGraphicFramePr/>
              <a:graphic xmlns:a="http://schemas.openxmlformats.org/drawingml/2006/main">
                <a:graphicData uri="http://schemas.microsoft.com/office/word/2010/wordprocessingShape">
                  <wps:wsp>
                    <wps:cNvSpPr/>
                    <wps:spPr>
                      <a:xfrm>
                        <a:off x="0" y="0"/>
                        <a:ext cx="7556500" cy="965200"/>
                      </a:xfrm>
                      <a:prstGeom prst="rect">
                        <a:avLst/>
                      </a:prstGeom>
                      <a:solidFill>
                        <a:srgbClr val="F620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9533C" id="Rectangle 10" o:spid="_x0000_s1026" style="position:absolute;margin-left:-70pt;margin-top:-22pt;width:595pt;height: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" fillcolor="#f6202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BB92" w14:textId="77777777" w:rsidR="00C828F5" w:rsidRDefault="00C828F5" w:rsidP="00AC29F7">
      <w:r>
        <w:separator/>
      </w:r>
    </w:p>
  </w:footnote>
  <w:footnote w:type="continuationSeparator" w:id="0">
    <w:p w14:paraId="6CA172F3" w14:textId="77777777" w:rsidR="00C828F5" w:rsidRDefault="00C828F5" w:rsidP="00AC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9403" w14:textId="77777777" w:rsidR="00ED5C87" w:rsidRDefault="00ED5C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C654" w14:textId="77777777" w:rsidR="00AC29F7" w:rsidRDefault="00AC29F7" w:rsidP="00AC29F7">
    <w:pPr>
      <w:pStyle w:val="En-tte"/>
      <w:tabs>
        <w:tab w:val="clear" w:pos="4536"/>
        <w:tab w:val="clear" w:pos="9072"/>
        <w:tab w:val="left" w:pos="29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6BAF" w14:textId="77777777" w:rsidR="00555C4C" w:rsidRDefault="007472D3">
    <w:pPr>
      <w:pStyle w:val="En-tte"/>
    </w:pPr>
    <w:r>
      <w:rPr>
        <w:noProof/>
      </w:rPr>
      <w:drawing>
        <wp:anchor distT="0" distB="0" distL="114300" distR="114300" simplePos="0" relativeHeight="251672576" behindDoc="0" locked="0" layoutInCell="1" allowOverlap="1" wp14:anchorId="4401ACC1" wp14:editId="0F4D415B">
          <wp:simplePos x="0" y="0"/>
          <wp:positionH relativeFrom="column">
            <wp:posOffset>76835</wp:posOffset>
          </wp:positionH>
          <wp:positionV relativeFrom="paragraph">
            <wp:posOffset>-5080</wp:posOffset>
          </wp:positionV>
          <wp:extent cx="1843405" cy="12090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MJN-FGTA FO 2018 blanc.png"/>
                  <pic:cNvPicPr/>
                </pic:nvPicPr>
                <pic:blipFill>
                  <a:blip r:embed="rId1">
                    <a:extLst>
                      <a:ext uri="{28A0092B-C50C-407E-A947-70E740481C1C}">
                        <a14:useLocalDpi xmlns:a14="http://schemas.microsoft.com/office/drawing/2010/main" val="0"/>
                      </a:ext>
                    </a:extLst>
                  </a:blip>
                  <a:stretch>
                    <a:fillRect/>
                  </a:stretch>
                </pic:blipFill>
                <pic:spPr>
                  <a:xfrm>
                    <a:off x="0" y="0"/>
                    <a:ext cx="1843405" cy="1209040"/>
                  </a:xfrm>
                  <a:prstGeom prst="rect">
                    <a:avLst/>
                  </a:prstGeom>
                </pic:spPr>
              </pic:pic>
            </a:graphicData>
          </a:graphic>
          <wp14:sizeRelH relativeFrom="margin">
            <wp14:pctWidth>0</wp14:pctWidth>
          </wp14:sizeRelH>
          <wp14:sizeRelV relativeFrom="margin">
            <wp14:pctHeight>0</wp14:pctHeight>
          </wp14:sizeRelV>
        </wp:anchor>
      </w:drawing>
    </w:r>
    <w:r w:rsidR="004F5BA2">
      <w:rPr>
        <w:noProof/>
      </w:rPr>
      <mc:AlternateContent>
        <mc:Choice Requires="wps">
          <w:drawing>
            <wp:anchor distT="0" distB="0" distL="114300" distR="114300" simplePos="0" relativeHeight="251667455" behindDoc="0" locked="0" layoutInCell="1" allowOverlap="1" wp14:anchorId="21D10059" wp14:editId="6A072A53">
              <wp:simplePos x="0" y="0"/>
              <wp:positionH relativeFrom="column">
                <wp:posOffset>-887095</wp:posOffset>
              </wp:positionH>
              <wp:positionV relativeFrom="paragraph">
                <wp:posOffset>-436880</wp:posOffset>
              </wp:positionV>
              <wp:extent cx="7556500" cy="1854200"/>
              <wp:effectExtent l="0" t="0" r="0" b="0"/>
              <wp:wrapNone/>
              <wp:docPr id="12" name="Rectangle 12"/>
              <wp:cNvGraphicFramePr/>
              <a:graphic xmlns:a="http://schemas.openxmlformats.org/drawingml/2006/main">
                <a:graphicData uri="http://schemas.microsoft.com/office/word/2010/wordprocessingShape">
                  <wps:wsp>
                    <wps:cNvSpPr/>
                    <wps:spPr>
                      <a:xfrm>
                        <a:off x="0" y="0"/>
                        <a:ext cx="7556500" cy="1854200"/>
                      </a:xfrm>
                      <a:prstGeom prst="rect">
                        <a:avLst/>
                      </a:prstGeom>
                      <a:solidFill>
                        <a:srgbClr val="F620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317B9" id="Rectangle 12" o:spid="_x0000_s1026" style="position:absolute;margin-left:-69.85pt;margin-top:-34.4pt;width:595pt;height:146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" fillcolor="#f6202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6393"/>
    <w:multiLevelType w:val="hybridMultilevel"/>
    <w:tmpl w:val="29EEF0CC"/>
    <w:lvl w:ilvl="0" w:tplc="F9AE32A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97B2B"/>
    <w:multiLevelType w:val="hybridMultilevel"/>
    <w:tmpl w:val="55D06AE0"/>
    <w:lvl w:ilvl="0" w:tplc="3F586AA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546B28"/>
    <w:multiLevelType w:val="hybridMultilevel"/>
    <w:tmpl w:val="D10E8B9E"/>
    <w:lvl w:ilvl="0" w:tplc="827E901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777ED1"/>
    <w:multiLevelType w:val="hybridMultilevel"/>
    <w:tmpl w:val="01C40100"/>
    <w:lvl w:ilvl="0" w:tplc="D91468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006F8"/>
    <w:multiLevelType w:val="multilevel"/>
    <w:tmpl w:val="1F46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210D8"/>
    <w:multiLevelType w:val="hybridMultilevel"/>
    <w:tmpl w:val="640448A6"/>
    <w:lvl w:ilvl="0" w:tplc="00DC48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096A55"/>
    <w:multiLevelType w:val="hybridMultilevel"/>
    <w:tmpl w:val="25382452"/>
    <w:lvl w:ilvl="0" w:tplc="A49204C8">
      <w:numFmt w:val="bullet"/>
      <w:lvlText w:val="-"/>
      <w:lvlJc w:val="left"/>
      <w:pPr>
        <w:ind w:left="720" w:hanging="360"/>
      </w:pPr>
      <w:rPr>
        <w:rFonts w:ascii="Wingdings" w:eastAsiaTheme="minorHAnsi" w:hAnsi="Wingdings" w:cstheme="minorBidi" w:hint="default"/>
        <w:color w:val="F620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BE5177"/>
    <w:multiLevelType w:val="hybridMultilevel"/>
    <w:tmpl w:val="EF7CF230"/>
    <w:lvl w:ilvl="0" w:tplc="C82E3288">
      <w:start w:val="1"/>
      <w:numFmt w:val="upperRoman"/>
      <w:lvlText w:val="%1)"/>
      <w:lvlJc w:val="left"/>
      <w:pPr>
        <w:ind w:left="1080" w:hanging="72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F3633F"/>
    <w:multiLevelType w:val="hybridMultilevel"/>
    <w:tmpl w:val="A1ACEAF4"/>
    <w:lvl w:ilvl="0" w:tplc="4A7CC62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1C2361"/>
    <w:multiLevelType w:val="hybridMultilevel"/>
    <w:tmpl w:val="2FA2DB00"/>
    <w:lvl w:ilvl="0" w:tplc="5706ED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6346FE"/>
    <w:multiLevelType w:val="hybridMultilevel"/>
    <w:tmpl w:val="16F07700"/>
    <w:lvl w:ilvl="0" w:tplc="19A06E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1676757"/>
    <w:multiLevelType w:val="hybridMultilevel"/>
    <w:tmpl w:val="EEEC929C"/>
    <w:lvl w:ilvl="0" w:tplc="DB1693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E27A39"/>
    <w:multiLevelType w:val="hybridMultilevel"/>
    <w:tmpl w:val="308817BC"/>
    <w:lvl w:ilvl="0" w:tplc="41B425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C26738"/>
    <w:multiLevelType w:val="hybridMultilevel"/>
    <w:tmpl w:val="230E236E"/>
    <w:lvl w:ilvl="0" w:tplc="F19C842A">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375158"/>
    <w:multiLevelType w:val="hybridMultilevel"/>
    <w:tmpl w:val="852AFBC4"/>
    <w:lvl w:ilvl="0" w:tplc="97EE0E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AD2BEA"/>
    <w:multiLevelType w:val="hybridMultilevel"/>
    <w:tmpl w:val="F844F8E8"/>
    <w:lvl w:ilvl="0" w:tplc="F19C842A">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FE5FB0"/>
    <w:multiLevelType w:val="hybridMultilevel"/>
    <w:tmpl w:val="E3408D70"/>
    <w:lvl w:ilvl="0" w:tplc="829AD78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53160"/>
    <w:multiLevelType w:val="hybridMultilevel"/>
    <w:tmpl w:val="6EECDA86"/>
    <w:lvl w:ilvl="0" w:tplc="3A44A9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F94662"/>
    <w:multiLevelType w:val="hybridMultilevel"/>
    <w:tmpl w:val="7848E77C"/>
    <w:lvl w:ilvl="0" w:tplc="F880FA5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DD7AB3"/>
    <w:multiLevelType w:val="hybridMultilevel"/>
    <w:tmpl w:val="1D74349A"/>
    <w:lvl w:ilvl="0" w:tplc="5256454E">
      <w:numFmt w:val="bullet"/>
      <w:lvlText w:val="-"/>
      <w:lvlJc w:val="left"/>
      <w:pPr>
        <w:ind w:left="1071" w:hanging="711"/>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26501E"/>
    <w:multiLevelType w:val="hybridMultilevel"/>
    <w:tmpl w:val="3754EC24"/>
    <w:lvl w:ilvl="0" w:tplc="7F3EEB2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695293"/>
    <w:multiLevelType w:val="hybridMultilevel"/>
    <w:tmpl w:val="7DAA437E"/>
    <w:lvl w:ilvl="0" w:tplc="E1D432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906755"/>
    <w:multiLevelType w:val="multilevel"/>
    <w:tmpl w:val="CAE2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5"/>
  </w:num>
  <w:num w:numId="5">
    <w:abstractNumId w:val="1"/>
  </w:num>
  <w:num w:numId="6">
    <w:abstractNumId w:val="16"/>
  </w:num>
  <w:num w:numId="7">
    <w:abstractNumId w:val="10"/>
  </w:num>
  <w:num w:numId="8">
    <w:abstractNumId w:val="18"/>
  </w:num>
  <w:num w:numId="9">
    <w:abstractNumId w:val="22"/>
  </w:num>
  <w:num w:numId="10">
    <w:abstractNumId w:val="4"/>
  </w:num>
  <w:num w:numId="11">
    <w:abstractNumId w:val="3"/>
  </w:num>
  <w:num w:numId="12">
    <w:abstractNumId w:val="14"/>
  </w:num>
  <w:num w:numId="13">
    <w:abstractNumId w:val="0"/>
  </w:num>
  <w:num w:numId="14">
    <w:abstractNumId w:val="7"/>
  </w:num>
  <w:num w:numId="15">
    <w:abstractNumId w:val="20"/>
  </w:num>
  <w:num w:numId="16">
    <w:abstractNumId w:val="8"/>
  </w:num>
  <w:num w:numId="17">
    <w:abstractNumId w:val="2"/>
  </w:num>
  <w:num w:numId="18">
    <w:abstractNumId w:val="21"/>
  </w:num>
  <w:num w:numId="19">
    <w:abstractNumId w:val="11"/>
  </w:num>
  <w:num w:numId="20">
    <w:abstractNumId w:val="12"/>
  </w:num>
  <w:num w:numId="21">
    <w:abstractNumId w:val="13"/>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8D"/>
    <w:rsid w:val="000619FB"/>
    <w:rsid w:val="0007248B"/>
    <w:rsid w:val="00072FF6"/>
    <w:rsid w:val="0007475D"/>
    <w:rsid w:val="000837D7"/>
    <w:rsid w:val="00093C1F"/>
    <w:rsid w:val="000A21FE"/>
    <w:rsid w:val="000C10A5"/>
    <w:rsid w:val="000C2614"/>
    <w:rsid w:val="000C3536"/>
    <w:rsid w:val="000C7340"/>
    <w:rsid w:val="000D36B3"/>
    <w:rsid w:val="001053FD"/>
    <w:rsid w:val="0014080B"/>
    <w:rsid w:val="0014783D"/>
    <w:rsid w:val="00150E10"/>
    <w:rsid w:val="001541CB"/>
    <w:rsid w:val="0016260B"/>
    <w:rsid w:val="00163EF6"/>
    <w:rsid w:val="00177BA9"/>
    <w:rsid w:val="0018546E"/>
    <w:rsid w:val="0019741F"/>
    <w:rsid w:val="0019790A"/>
    <w:rsid w:val="001B3488"/>
    <w:rsid w:val="001D0802"/>
    <w:rsid w:val="001E5979"/>
    <w:rsid w:val="001E6B59"/>
    <w:rsid w:val="001F168F"/>
    <w:rsid w:val="00220F9F"/>
    <w:rsid w:val="00246A1F"/>
    <w:rsid w:val="00246B76"/>
    <w:rsid w:val="002529F3"/>
    <w:rsid w:val="00262C43"/>
    <w:rsid w:val="00292CED"/>
    <w:rsid w:val="002C2DD3"/>
    <w:rsid w:val="002D1BA5"/>
    <w:rsid w:val="002F62BA"/>
    <w:rsid w:val="00300F06"/>
    <w:rsid w:val="00305BFE"/>
    <w:rsid w:val="00311477"/>
    <w:rsid w:val="0032294E"/>
    <w:rsid w:val="00335AB8"/>
    <w:rsid w:val="00341CA8"/>
    <w:rsid w:val="003422D7"/>
    <w:rsid w:val="00346074"/>
    <w:rsid w:val="00350CD1"/>
    <w:rsid w:val="0035124F"/>
    <w:rsid w:val="0035367F"/>
    <w:rsid w:val="0035684E"/>
    <w:rsid w:val="00362FBC"/>
    <w:rsid w:val="00365789"/>
    <w:rsid w:val="00374DD9"/>
    <w:rsid w:val="003938A7"/>
    <w:rsid w:val="003973BD"/>
    <w:rsid w:val="003A0626"/>
    <w:rsid w:val="003A1AE5"/>
    <w:rsid w:val="003A2833"/>
    <w:rsid w:val="003B76FD"/>
    <w:rsid w:val="003D2C17"/>
    <w:rsid w:val="003E5288"/>
    <w:rsid w:val="003F7071"/>
    <w:rsid w:val="0040521C"/>
    <w:rsid w:val="004061A3"/>
    <w:rsid w:val="00414E5C"/>
    <w:rsid w:val="0042617B"/>
    <w:rsid w:val="004274C6"/>
    <w:rsid w:val="0043330C"/>
    <w:rsid w:val="00436ECD"/>
    <w:rsid w:val="004524F1"/>
    <w:rsid w:val="00462224"/>
    <w:rsid w:val="00466AAE"/>
    <w:rsid w:val="00474124"/>
    <w:rsid w:val="00477823"/>
    <w:rsid w:val="00483860"/>
    <w:rsid w:val="004A7763"/>
    <w:rsid w:val="004E4831"/>
    <w:rsid w:val="004F2BC5"/>
    <w:rsid w:val="004F4227"/>
    <w:rsid w:val="004F5BA2"/>
    <w:rsid w:val="00511417"/>
    <w:rsid w:val="00527803"/>
    <w:rsid w:val="00536659"/>
    <w:rsid w:val="00555C4C"/>
    <w:rsid w:val="00563548"/>
    <w:rsid w:val="0057589D"/>
    <w:rsid w:val="005A1227"/>
    <w:rsid w:val="005C68AF"/>
    <w:rsid w:val="005C7AA2"/>
    <w:rsid w:val="005D1ECA"/>
    <w:rsid w:val="005E3BFA"/>
    <w:rsid w:val="005F52C4"/>
    <w:rsid w:val="005F554E"/>
    <w:rsid w:val="006220A5"/>
    <w:rsid w:val="00625B24"/>
    <w:rsid w:val="006421D1"/>
    <w:rsid w:val="00644AC7"/>
    <w:rsid w:val="00662A4F"/>
    <w:rsid w:val="0066553E"/>
    <w:rsid w:val="006716DE"/>
    <w:rsid w:val="006763D4"/>
    <w:rsid w:val="00681389"/>
    <w:rsid w:val="006846F8"/>
    <w:rsid w:val="006A1C3D"/>
    <w:rsid w:val="006A573C"/>
    <w:rsid w:val="006B125A"/>
    <w:rsid w:val="006C1B78"/>
    <w:rsid w:val="006C5842"/>
    <w:rsid w:val="006E6DAA"/>
    <w:rsid w:val="006F0619"/>
    <w:rsid w:val="006F1C87"/>
    <w:rsid w:val="00703BC1"/>
    <w:rsid w:val="00707D59"/>
    <w:rsid w:val="00717351"/>
    <w:rsid w:val="00732271"/>
    <w:rsid w:val="00735608"/>
    <w:rsid w:val="007374F1"/>
    <w:rsid w:val="007472D3"/>
    <w:rsid w:val="00762591"/>
    <w:rsid w:val="0076789D"/>
    <w:rsid w:val="0078651E"/>
    <w:rsid w:val="00790ABB"/>
    <w:rsid w:val="00792B3A"/>
    <w:rsid w:val="007A1232"/>
    <w:rsid w:val="007A172A"/>
    <w:rsid w:val="007C5CDE"/>
    <w:rsid w:val="007E1AAF"/>
    <w:rsid w:val="007E2EBA"/>
    <w:rsid w:val="007E44BD"/>
    <w:rsid w:val="008074F0"/>
    <w:rsid w:val="008236C0"/>
    <w:rsid w:val="008450AB"/>
    <w:rsid w:val="00894F7D"/>
    <w:rsid w:val="008A305A"/>
    <w:rsid w:val="008A3BC4"/>
    <w:rsid w:val="008D3F0A"/>
    <w:rsid w:val="008D5665"/>
    <w:rsid w:val="008F6846"/>
    <w:rsid w:val="00900D4F"/>
    <w:rsid w:val="00900D87"/>
    <w:rsid w:val="00901E00"/>
    <w:rsid w:val="00906644"/>
    <w:rsid w:val="00915750"/>
    <w:rsid w:val="00917385"/>
    <w:rsid w:val="0091769A"/>
    <w:rsid w:val="00937B74"/>
    <w:rsid w:val="00940E24"/>
    <w:rsid w:val="0094684A"/>
    <w:rsid w:val="00957594"/>
    <w:rsid w:val="00986BE1"/>
    <w:rsid w:val="009B15B8"/>
    <w:rsid w:val="009B61DC"/>
    <w:rsid w:val="009B737E"/>
    <w:rsid w:val="009C082E"/>
    <w:rsid w:val="009C66E9"/>
    <w:rsid w:val="009D20CF"/>
    <w:rsid w:val="009D69DE"/>
    <w:rsid w:val="009E1DA1"/>
    <w:rsid w:val="009F15DD"/>
    <w:rsid w:val="009F7DFB"/>
    <w:rsid w:val="00A04405"/>
    <w:rsid w:val="00A2205B"/>
    <w:rsid w:val="00A33160"/>
    <w:rsid w:val="00A37FA2"/>
    <w:rsid w:val="00A42B3D"/>
    <w:rsid w:val="00A50E3B"/>
    <w:rsid w:val="00A53B9D"/>
    <w:rsid w:val="00A62E56"/>
    <w:rsid w:val="00A71405"/>
    <w:rsid w:val="00A74291"/>
    <w:rsid w:val="00A94862"/>
    <w:rsid w:val="00A9544E"/>
    <w:rsid w:val="00AA3852"/>
    <w:rsid w:val="00AB5AFB"/>
    <w:rsid w:val="00AC14C8"/>
    <w:rsid w:val="00AC29F7"/>
    <w:rsid w:val="00AC6578"/>
    <w:rsid w:val="00AD2C17"/>
    <w:rsid w:val="00AD4D1E"/>
    <w:rsid w:val="00AF1331"/>
    <w:rsid w:val="00AF63E2"/>
    <w:rsid w:val="00B00BEE"/>
    <w:rsid w:val="00B020E3"/>
    <w:rsid w:val="00B05001"/>
    <w:rsid w:val="00B12A4F"/>
    <w:rsid w:val="00B1510A"/>
    <w:rsid w:val="00B311D4"/>
    <w:rsid w:val="00B3158D"/>
    <w:rsid w:val="00B33A2C"/>
    <w:rsid w:val="00B36A18"/>
    <w:rsid w:val="00B43709"/>
    <w:rsid w:val="00B554A5"/>
    <w:rsid w:val="00B679AC"/>
    <w:rsid w:val="00B80A38"/>
    <w:rsid w:val="00B81C30"/>
    <w:rsid w:val="00BA431D"/>
    <w:rsid w:val="00BA5430"/>
    <w:rsid w:val="00BA6C3F"/>
    <w:rsid w:val="00BA7AED"/>
    <w:rsid w:val="00BB6251"/>
    <w:rsid w:val="00BC18B8"/>
    <w:rsid w:val="00BC32D2"/>
    <w:rsid w:val="00BC61A1"/>
    <w:rsid w:val="00BF0B52"/>
    <w:rsid w:val="00BF21B0"/>
    <w:rsid w:val="00BF38BD"/>
    <w:rsid w:val="00C019E0"/>
    <w:rsid w:val="00C162B7"/>
    <w:rsid w:val="00C204E3"/>
    <w:rsid w:val="00C2146C"/>
    <w:rsid w:val="00C21A5C"/>
    <w:rsid w:val="00C23FDA"/>
    <w:rsid w:val="00C279D0"/>
    <w:rsid w:val="00C351F8"/>
    <w:rsid w:val="00C3761F"/>
    <w:rsid w:val="00C464B3"/>
    <w:rsid w:val="00C824DD"/>
    <w:rsid w:val="00C828F5"/>
    <w:rsid w:val="00C919A2"/>
    <w:rsid w:val="00C94B04"/>
    <w:rsid w:val="00C94C19"/>
    <w:rsid w:val="00C96E56"/>
    <w:rsid w:val="00CA1EBB"/>
    <w:rsid w:val="00CA6C7C"/>
    <w:rsid w:val="00CB17DE"/>
    <w:rsid w:val="00CB687B"/>
    <w:rsid w:val="00CC6111"/>
    <w:rsid w:val="00CD014C"/>
    <w:rsid w:val="00CD046B"/>
    <w:rsid w:val="00CD62E0"/>
    <w:rsid w:val="00CD6467"/>
    <w:rsid w:val="00CE3D5D"/>
    <w:rsid w:val="00CE68D7"/>
    <w:rsid w:val="00D32BBF"/>
    <w:rsid w:val="00D36329"/>
    <w:rsid w:val="00D442DD"/>
    <w:rsid w:val="00D45A4E"/>
    <w:rsid w:val="00D46E17"/>
    <w:rsid w:val="00D87EED"/>
    <w:rsid w:val="00DB01E8"/>
    <w:rsid w:val="00DC194B"/>
    <w:rsid w:val="00DE36D6"/>
    <w:rsid w:val="00DE3842"/>
    <w:rsid w:val="00DF1E4A"/>
    <w:rsid w:val="00E06166"/>
    <w:rsid w:val="00E22448"/>
    <w:rsid w:val="00E31B2B"/>
    <w:rsid w:val="00E33DDD"/>
    <w:rsid w:val="00E36FD8"/>
    <w:rsid w:val="00E46082"/>
    <w:rsid w:val="00E63279"/>
    <w:rsid w:val="00E73442"/>
    <w:rsid w:val="00E7466A"/>
    <w:rsid w:val="00E94AF7"/>
    <w:rsid w:val="00EA64A9"/>
    <w:rsid w:val="00ED5C87"/>
    <w:rsid w:val="00ED6DA9"/>
    <w:rsid w:val="00EE1191"/>
    <w:rsid w:val="00EE1403"/>
    <w:rsid w:val="00EE20ED"/>
    <w:rsid w:val="00EF3942"/>
    <w:rsid w:val="00EF65AE"/>
    <w:rsid w:val="00EF6DC2"/>
    <w:rsid w:val="00F16197"/>
    <w:rsid w:val="00F229BE"/>
    <w:rsid w:val="00F24568"/>
    <w:rsid w:val="00F426B4"/>
    <w:rsid w:val="00F428D8"/>
    <w:rsid w:val="00F4777D"/>
    <w:rsid w:val="00F50732"/>
    <w:rsid w:val="00F54EFF"/>
    <w:rsid w:val="00F65303"/>
    <w:rsid w:val="00F7640B"/>
    <w:rsid w:val="00F91862"/>
    <w:rsid w:val="00FA73BB"/>
    <w:rsid w:val="00FC3E59"/>
    <w:rsid w:val="00FC6597"/>
    <w:rsid w:val="00FF3B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F07E"/>
  <w15:chartTrackingRefBased/>
  <w15:docId w15:val="{74D509DE-635B-4449-AD16-98FE49D8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29F7"/>
    <w:pPr>
      <w:tabs>
        <w:tab w:val="center" w:pos="4536"/>
        <w:tab w:val="right" w:pos="9072"/>
      </w:tabs>
    </w:pPr>
  </w:style>
  <w:style w:type="character" w:customStyle="1" w:styleId="En-tteCar">
    <w:name w:val="En-tête Car"/>
    <w:basedOn w:val="Policepardfaut"/>
    <w:link w:val="En-tte"/>
    <w:uiPriority w:val="99"/>
    <w:rsid w:val="00AC29F7"/>
  </w:style>
  <w:style w:type="paragraph" w:styleId="Pieddepage">
    <w:name w:val="footer"/>
    <w:basedOn w:val="Normal"/>
    <w:link w:val="PieddepageCar"/>
    <w:uiPriority w:val="99"/>
    <w:unhideWhenUsed/>
    <w:rsid w:val="00AC29F7"/>
    <w:pPr>
      <w:tabs>
        <w:tab w:val="center" w:pos="4536"/>
        <w:tab w:val="right" w:pos="9072"/>
      </w:tabs>
    </w:pPr>
  </w:style>
  <w:style w:type="character" w:customStyle="1" w:styleId="PieddepageCar">
    <w:name w:val="Pied de page Car"/>
    <w:basedOn w:val="Policepardfaut"/>
    <w:link w:val="Pieddepage"/>
    <w:uiPriority w:val="99"/>
    <w:rsid w:val="00AC29F7"/>
  </w:style>
  <w:style w:type="paragraph" w:customStyle="1" w:styleId="Default">
    <w:name w:val="Default"/>
    <w:rsid w:val="00E31B2B"/>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BC61A1"/>
    <w:pPr>
      <w:ind w:left="720"/>
      <w:contextualSpacing/>
    </w:pPr>
  </w:style>
  <w:style w:type="character" w:styleId="Lienhypertexte">
    <w:name w:val="Hyperlink"/>
    <w:basedOn w:val="Policepardfaut"/>
    <w:uiPriority w:val="99"/>
    <w:unhideWhenUsed/>
    <w:rsid w:val="00BC61A1"/>
    <w:rPr>
      <w:color w:val="0563C1" w:themeColor="hyperlink"/>
      <w:u w:val="single"/>
    </w:rPr>
  </w:style>
  <w:style w:type="character" w:styleId="Mentionnonrsolue">
    <w:name w:val="Unresolved Mention"/>
    <w:basedOn w:val="Policepardfaut"/>
    <w:uiPriority w:val="99"/>
    <w:semiHidden/>
    <w:unhideWhenUsed/>
    <w:rsid w:val="00BC61A1"/>
    <w:rPr>
      <w:color w:val="605E5C"/>
      <w:shd w:val="clear" w:color="auto" w:fill="E1DFDD"/>
    </w:rPr>
  </w:style>
  <w:style w:type="table" w:styleId="Grilledutableau">
    <w:name w:val="Table Grid"/>
    <w:basedOn w:val="TableauNormal"/>
    <w:uiPriority w:val="39"/>
    <w:rsid w:val="00D4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4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69573">
      <w:bodyDiv w:val="1"/>
      <w:marLeft w:val="0"/>
      <w:marRight w:val="0"/>
      <w:marTop w:val="0"/>
      <w:marBottom w:val="0"/>
      <w:divBdr>
        <w:top w:val="none" w:sz="0" w:space="0" w:color="auto"/>
        <w:left w:val="none" w:sz="0" w:space="0" w:color="auto"/>
        <w:bottom w:val="none" w:sz="0" w:space="0" w:color="auto"/>
        <w:right w:val="none" w:sz="0" w:space="0" w:color="auto"/>
      </w:divBdr>
    </w:div>
    <w:div w:id="365906776">
      <w:bodyDiv w:val="1"/>
      <w:marLeft w:val="0"/>
      <w:marRight w:val="0"/>
      <w:marTop w:val="0"/>
      <w:marBottom w:val="0"/>
      <w:divBdr>
        <w:top w:val="none" w:sz="0" w:space="0" w:color="auto"/>
        <w:left w:val="none" w:sz="0" w:space="0" w:color="auto"/>
        <w:bottom w:val="none" w:sz="0" w:space="0" w:color="auto"/>
        <w:right w:val="none" w:sz="0" w:space="0" w:color="auto"/>
      </w:divBdr>
    </w:div>
    <w:div w:id="542403312">
      <w:bodyDiv w:val="1"/>
      <w:marLeft w:val="0"/>
      <w:marRight w:val="0"/>
      <w:marTop w:val="0"/>
      <w:marBottom w:val="0"/>
      <w:divBdr>
        <w:top w:val="none" w:sz="0" w:space="0" w:color="auto"/>
        <w:left w:val="none" w:sz="0" w:space="0" w:color="auto"/>
        <w:bottom w:val="none" w:sz="0" w:space="0" w:color="auto"/>
        <w:right w:val="none" w:sz="0" w:space="0" w:color="auto"/>
      </w:divBdr>
    </w:div>
    <w:div w:id="956832056">
      <w:bodyDiv w:val="1"/>
      <w:marLeft w:val="0"/>
      <w:marRight w:val="0"/>
      <w:marTop w:val="0"/>
      <w:marBottom w:val="0"/>
      <w:divBdr>
        <w:top w:val="none" w:sz="0" w:space="0" w:color="auto"/>
        <w:left w:val="none" w:sz="0" w:space="0" w:color="auto"/>
        <w:bottom w:val="none" w:sz="0" w:space="0" w:color="auto"/>
        <w:right w:val="none" w:sz="0" w:space="0" w:color="auto"/>
      </w:divBdr>
      <w:divsChild>
        <w:div w:id="951941465">
          <w:marLeft w:val="0"/>
          <w:marRight w:val="0"/>
          <w:marTop w:val="0"/>
          <w:marBottom w:val="0"/>
          <w:divBdr>
            <w:top w:val="none" w:sz="0" w:space="0" w:color="auto"/>
            <w:left w:val="none" w:sz="0" w:space="0" w:color="auto"/>
            <w:bottom w:val="none" w:sz="0" w:space="0" w:color="auto"/>
            <w:right w:val="none" w:sz="0" w:space="0" w:color="auto"/>
          </w:divBdr>
        </w:div>
      </w:divsChild>
    </w:div>
    <w:div w:id="977614696">
      <w:bodyDiv w:val="1"/>
      <w:marLeft w:val="0"/>
      <w:marRight w:val="0"/>
      <w:marTop w:val="0"/>
      <w:marBottom w:val="0"/>
      <w:divBdr>
        <w:top w:val="none" w:sz="0" w:space="0" w:color="auto"/>
        <w:left w:val="none" w:sz="0" w:space="0" w:color="auto"/>
        <w:bottom w:val="none" w:sz="0" w:space="0" w:color="auto"/>
        <w:right w:val="none" w:sz="0" w:space="0" w:color="auto"/>
      </w:divBdr>
    </w:div>
    <w:div w:id="1278949873">
      <w:bodyDiv w:val="1"/>
      <w:marLeft w:val="0"/>
      <w:marRight w:val="0"/>
      <w:marTop w:val="0"/>
      <w:marBottom w:val="0"/>
      <w:divBdr>
        <w:top w:val="none" w:sz="0" w:space="0" w:color="auto"/>
        <w:left w:val="none" w:sz="0" w:space="0" w:color="auto"/>
        <w:bottom w:val="none" w:sz="0" w:space="0" w:color="auto"/>
        <w:right w:val="none" w:sz="0" w:space="0" w:color="auto"/>
      </w:divBdr>
    </w:div>
    <w:div w:id="1573075985">
      <w:bodyDiv w:val="1"/>
      <w:marLeft w:val="0"/>
      <w:marRight w:val="0"/>
      <w:marTop w:val="0"/>
      <w:marBottom w:val="0"/>
      <w:divBdr>
        <w:top w:val="none" w:sz="0" w:space="0" w:color="auto"/>
        <w:left w:val="none" w:sz="0" w:space="0" w:color="auto"/>
        <w:bottom w:val="none" w:sz="0" w:space="0" w:color="auto"/>
        <w:right w:val="none" w:sz="0" w:space="0" w:color="auto"/>
      </w:divBdr>
    </w:div>
    <w:div w:id="1762335580">
      <w:bodyDiv w:val="1"/>
      <w:marLeft w:val="0"/>
      <w:marRight w:val="0"/>
      <w:marTop w:val="0"/>
      <w:marBottom w:val="0"/>
      <w:divBdr>
        <w:top w:val="none" w:sz="0" w:space="0" w:color="auto"/>
        <w:left w:val="none" w:sz="0" w:space="0" w:color="auto"/>
        <w:bottom w:val="none" w:sz="0" w:space="0" w:color="auto"/>
        <w:right w:val="none" w:sz="0" w:space="0" w:color="auto"/>
      </w:divBdr>
      <w:divsChild>
        <w:div w:id="1523667363">
          <w:marLeft w:val="0"/>
          <w:marRight w:val="0"/>
          <w:marTop w:val="0"/>
          <w:marBottom w:val="0"/>
          <w:divBdr>
            <w:top w:val="none" w:sz="0" w:space="0" w:color="auto"/>
            <w:left w:val="none" w:sz="0" w:space="0" w:color="auto"/>
            <w:bottom w:val="none" w:sz="0" w:space="0" w:color="auto"/>
            <w:right w:val="none" w:sz="0" w:space="0" w:color="auto"/>
          </w:divBdr>
        </w:div>
        <w:div w:id="184277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que@fgta-f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C133-B509-4745-BFE5-20A7DAC2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RAULT</dc:creator>
  <cp:keywords/>
  <dc:description/>
  <cp:lastModifiedBy>Alexandre RAULT</cp:lastModifiedBy>
  <cp:revision>2</cp:revision>
  <cp:lastPrinted>2021-02-22T14:45:00Z</cp:lastPrinted>
  <dcterms:created xsi:type="dcterms:W3CDTF">2021-03-31T11:55:00Z</dcterms:created>
  <dcterms:modified xsi:type="dcterms:W3CDTF">2021-03-31T11:55:00Z</dcterms:modified>
</cp:coreProperties>
</file>